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chart2.xml" ContentType="application/vnd.openxmlformats-officedocument.drawingml.chart+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harts/style1.xml" ContentType="application/vnd.ms-office.chartstyle+xml"/>
  <Override PartName="/word/charts/colors1.xml" ContentType="application/vnd.ms-office.chartcolorstyle+xml"/>
  <Override PartName="/word/charts/style2.xml" ContentType="application/vnd.ms-office.chartstyle+xml"/>
  <Override PartName="/word/charts/colors2.xml" ContentType="application/vnd.ms-office.chartcolorsty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7597638" w14:textId="1FC3E970" w:rsidR="00286BDE" w:rsidRPr="004E6219" w:rsidRDefault="005A4231" w:rsidP="004E6219">
      <w:pPr>
        <w:pStyle w:val="Titulek"/>
        <w:rPr>
          <w:sz w:val="32"/>
          <w:szCs w:val="32"/>
        </w:rPr>
      </w:pPr>
      <w:r>
        <w:rPr>
          <w:sz w:val="32"/>
          <w:szCs w:val="32"/>
        </w:rPr>
        <w:t xml:space="preserve">Pokročilá </w:t>
      </w:r>
      <w:r w:rsidR="00A76FA4" w:rsidRPr="004E6219">
        <w:rPr>
          <w:sz w:val="32"/>
          <w:szCs w:val="32"/>
        </w:rPr>
        <w:t>virtualizace – splynutí virtuálního obchodního bodu s</w:t>
      </w:r>
      <w:r w:rsidR="007069D9">
        <w:rPr>
          <w:sz w:val="32"/>
          <w:szCs w:val="32"/>
        </w:rPr>
        <w:t> </w:t>
      </w:r>
      <w:bookmarkStart w:id="0" w:name="_GoBack"/>
      <w:bookmarkEnd w:id="0"/>
      <w:r w:rsidR="00A76FA4" w:rsidRPr="004E6219">
        <w:rPr>
          <w:sz w:val="32"/>
          <w:szCs w:val="32"/>
        </w:rPr>
        <w:t>virtuálními body zásobníků plynu</w:t>
      </w:r>
    </w:p>
    <w:p w14:paraId="799E1656" w14:textId="77777777" w:rsidR="00E83EDC" w:rsidRDefault="00E83EDC" w:rsidP="00E83EDC"/>
    <w:p w14:paraId="40CBD36F" w14:textId="77777777" w:rsidR="00E83EDC" w:rsidRPr="00E83EDC" w:rsidRDefault="00E83EDC" w:rsidP="00E83EDC"/>
    <w:sdt>
      <w:sdtPr>
        <w:rPr>
          <w:rFonts w:asciiTheme="minorHAnsi" w:eastAsiaTheme="minorEastAsia" w:hAnsiTheme="minorHAnsi" w:cs="Times New Roman"/>
          <w:color w:val="auto"/>
          <w:sz w:val="22"/>
          <w:szCs w:val="22"/>
        </w:rPr>
        <w:id w:val="-1708782200"/>
        <w:docPartObj>
          <w:docPartGallery w:val="Table of Contents"/>
          <w:docPartUnique/>
        </w:docPartObj>
      </w:sdtPr>
      <w:sdtEndPr>
        <w:rPr>
          <w:b/>
          <w:bCs/>
        </w:rPr>
      </w:sdtEndPr>
      <w:sdtContent>
        <w:p w14:paraId="71A8757E" w14:textId="0902D78B" w:rsidR="00A4375C" w:rsidRDefault="00A4375C">
          <w:pPr>
            <w:pStyle w:val="Nadpisobsahu"/>
          </w:pPr>
          <w:r>
            <w:t>Obsah</w:t>
          </w:r>
        </w:p>
        <w:p w14:paraId="44B0D732" w14:textId="77777777" w:rsidR="00314593" w:rsidRDefault="00A4375C">
          <w:pPr>
            <w:pStyle w:val="Obsah1"/>
            <w:tabs>
              <w:tab w:val="right" w:leader="dot" w:pos="9062"/>
            </w:tabs>
            <w:rPr>
              <w:rFonts w:cstheme="minorBidi"/>
              <w:noProof/>
            </w:rPr>
          </w:pPr>
          <w:r>
            <w:fldChar w:fldCharType="begin"/>
          </w:r>
          <w:r>
            <w:instrText xml:space="preserve"> TOC \o "1-3" \h \z \u </w:instrText>
          </w:r>
          <w:r>
            <w:fldChar w:fldCharType="separate"/>
          </w:r>
          <w:hyperlink w:anchor="_Toc477323750" w:history="1">
            <w:r w:rsidR="00314593" w:rsidRPr="00EE1BA9">
              <w:rPr>
                <w:rStyle w:val="Hypertextovodkaz"/>
                <w:noProof/>
              </w:rPr>
              <w:t>Identifikace problému</w:t>
            </w:r>
            <w:r w:rsidR="00314593">
              <w:rPr>
                <w:noProof/>
                <w:webHidden/>
              </w:rPr>
              <w:tab/>
            </w:r>
            <w:r w:rsidR="00314593">
              <w:rPr>
                <w:noProof/>
                <w:webHidden/>
              </w:rPr>
              <w:fldChar w:fldCharType="begin"/>
            </w:r>
            <w:r w:rsidR="00314593">
              <w:rPr>
                <w:noProof/>
                <w:webHidden/>
              </w:rPr>
              <w:instrText xml:space="preserve"> PAGEREF _Toc477323750 \h </w:instrText>
            </w:r>
            <w:r w:rsidR="00314593">
              <w:rPr>
                <w:noProof/>
                <w:webHidden/>
              </w:rPr>
            </w:r>
            <w:r w:rsidR="00314593">
              <w:rPr>
                <w:noProof/>
                <w:webHidden/>
              </w:rPr>
              <w:fldChar w:fldCharType="separate"/>
            </w:r>
            <w:r w:rsidR="000620C9">
              <w:rPr>
                <w:noProof/>
                <w:webHidden/>
              </w:rPr>
              <w:t>2</w:t>
            </w:r>
            <w:r w:rsidR="00314593">
              <w:rPr>
                <w:noProof/>
                <w:webHidden/>
              </w:rPr>
              <w:fldChar w:fldCharType="end"/>
            </w:r>
          </w:hyperlink>
        </w:p>
        <w:p w14:paraId="4F3C807D" w14:textId="77777777" w:rsidR="00314593" w:rsidRDefault="000620C9">
          <w:pPr>
            <w:pStyle w:val="Obsah1"/>
            <w:tabs>
              <w:tab w:val="right" w:leader="dot" w:pos="9062"/>
            </w:tabs>
            <w:rPr>
              <w:rFonts w:cstheme="minorBidi"/>
              <w:noProof/>
            </w:rPr>
          </w:pPr>
          <w:hyperlink w:anchor="_Toc477323751" w:history="1">
            <w:r w:rsidR="00314593" w:rsidRPr="00EE1BA9">
              <w:rPr>
                <w:rStyle w:val="Hypertextovodkaz"/>
                <w:noProof/>
              </w:rPr>
              <w:t>Popis navrhovaného řešení</w:t>
            </w:r>
            <w:r w:rsidR="00314593">
              <w:rPr>
                <w:noProof/>
                <w:webHidden/>
              </w:rPr>
              <w:tab/>
            </w:r>
            <w:r w:rsidR="00314593">
              <w:rPr>
                <w:noProof/>
                <w:webHidden/>
              </w:rPr>
              <w:fldChar w:fldCharType="begin"/>
            </w:r>
            <w:r w:rsidR="00314593">
              <w:rPr>
                <w:noProof/>
                <w:webHidden/>
              </w:rPr>
              <w:instrText xml:space="preserve"> PAGEREF _Toc477323751 \h </w:instrText>
            </w:r>
            <w:r w:rsidR="00314593">
              <w:rPr>
                <w:noProof/>
                <w:webHidden/>
              </w:rPr>
            </w:r>
            <w:r w:rsidR="00314593">
              <w:rPr>
                <w:noProof/>
                <w:webHidden/>
              </w:rPr>
              <w:fldChar w:fldCharType="separate"/>
            </w:r>
            <w:r>
              <w:rPr>
                <w:noProof/>
                <w:webHidden/>
              </w:rPr>
              <w:t>3</w:t>
            </w:r>
            <w:r w:rsidR="00314593">
              <w:rPr>
                <w:noProof/>
                <w:webHidden/>
              </w:rPr>
              <w:fldChar w:fldCharType="end"/>
            </w:r>
          </w:hyperlink>
        </w:p>
        <w:p w14:paraId="5F1A27C1" w14:textId="77777777" w:rsidR="00314593" w:rsidRDefault="000620C9">
          <w:pPr>
            <w:pStyle w:val="Obsah1"/>
            <w:tabs>
              <w:tab w:val="right" w:leader="dot" w:pos="9062"/>
            </w:tabs>
            <w:rPr>
              <w:rFonts w:cstheme="minorBidi"/>
              <w:noProof/>
            </w:rPr>
          </w:pPr>
          <w:hyperlink w:anchor="_Toc477323752" w:history="1">
            <w:r w:rsidR="00314593" w:rsidRPr="00EE1BA9">
              <w:rPr>
                <w:rStyle w:val="Hypertextovodkaz"/>
                <w:noProof/>
              </w:rPr>
              <w:t>Grafické znázornění současného a navrhovaného modelu trhu s plynem</w:t>
            </w:r>
            <w:r w:rsidR="00314593">
              <w:rPr>
                <w:noProof/>
                <w:webHidden/>
              </w:rPr>
              <w:tab/>
            </w:r>
            <w:r w:rsidR="00314593">
              <w:rPr>
                <w:noProof/>
                <w:webHidden/>
              </w:rPr>
              <w:fldChar w:fldCharType="begin"/>
            </w:r>
            <w:r w:rsidR="00314593">
              <w:rPr>
                <w:noProof/>
                <w:webHidden/>
              </w:rPr>
              <w:instrText xml:space="preserve"> PAGEREF _Toc477323752 \h </w:instrText>
            </w:r>
            <w:r w:rsidR="00314593">
              <w:rPr>
                <w:noProof/>
                <w:webHidden/>
              </w:rPr>
            </w:r>
            <w:r w:rsidR="00314593">
              <w:rPr>
                <w:noProof/>
                <w:webHidden/>
              </w:rPr>
              <w:fldChar w:fldCharType="separate"/>
            </w:r>
            <w:r>
              <w:rPr>
                <w:noProof/>
                <w:webHidden/>
              </w:rPr>
              <w:t>4</w:t>
            </w:r>
            <w:r w:rsidR="00314593">
              <w:rPr>
                <w:noProof/>
                <w:webHidden/>
              </w:rPr>
              <w:fldChar w:fldCharType="end"/>
            </w:r>
          </w:hyperlink>
        </w:p>
        <w:p w14:paraId="097409FB" w14:textId="77777777" w:rsidR="00314593" w:rsidRDefault="000620C9">
          <w:pPr>
            <w:pStyle w:val="Obsah1"/>
            <w:tabs>
              <w:tab w:val="right" w:leader="dot" w:pos="9062"/>
            </w:tabs>
            <w:rPr>
              <w:rFonts w:cstheme="minorBidi"/>
              <w:noProof/>
            </w:rPr>
          </w:pPr>
          <w:hyperlink w:anchor="_Toc477323753" w:history="1">
            <w:r w:rsidR="00314593" w:rsidRPr="00EE1BA9">
              <w:rPr>
                <w:rStyle w:val="Hypertextovodkaz"/>
                <w:noProof/>
              </w:rPr>
              <w:t>Popis smluvního modelu pro přesun plynu mezi VOB a virtuálním zásobníkem plynu</w:t>
            </w:r>
            <w:r w:rsidR="00314593">
              <w:rPr>
                <w:noProof/>
                <w:webHidden/>
              </w:rPr>
              <w:tab/>
            </w:r>
            <w:r w:rsidR="00314593">
              <w:rPr>
                <w:noProof/>
                <w:webHidden/>
              </w:rPr>
              <w:fldChar w:fldCharType="begin"/>
            </w:r>
            <w:r w:rsidR="00314593">
              <w:rPr>
                <w:noProof/>
                <w:webHidden/>
              </w:rPr>
              <w:instrText xml:space="preserve"> PAGEREF _Toc477323753 \h </w:instrText>
            </w:r>
            <w:r w:rsidR="00314593">
              <w:rPr>
                <w:noProof/>
                <w:webHidden/>
              </w:rPr>
            </w:r>
            <w:r w:rsidR="00314593">
              <w:rPr>
                <w:noProof/>
                <w:webHidden/>
              </w:rPr>
              <w:fldChar w:fldCharType="separate"/>
            </w:r>
            <w:r>
              <w:rPr>
                <w:noProof/>
                <w:webHidden/>
              </w:rPr>
              <w:t>4</w:t>
            </w:r>
            <w:r w:rsidR="00314593">
              <w:rPr>
                <w:noProof/>
                <w:webHidden/>
              </w:rPr>
              <w:fldChar w:fldCharType="end"/>
            </w:r>
          </w:hyperlink>
        </w:p>
        <w:p w14:paraId="43AFA71E" w14:textId="77777777" w:rsidR="00314593" w:rsidRDefault="000620C9">
          <w:pPr>
            <w:pStyle w:val="Obsah1"/>
            <w:tabs>
              <w:tab w:val="right" w:leader="dot" w:pos="9062"/>
            </w:tabs>
            <w:rPr>
              <w:rFonts w:cstheme="minorBidi"/>
              <w:noProof/>
            </w:rPr>
          </w:pPr>
          <w:hyperlink w:anchor="_Toc477323754" w:history="1">
            <w:r w:rsidR="00314593" w:rsidRPr="00EE1BA9">
              <w:rPr>
                <w:rStyle w:val="Hypertextovodkaz"/>
                <w:noProof/>
              </w:rPr>
              <w:t>Nominace přepravy na vstupním a výstupním bodě přepravní soustavy z/do zásobníku plynu</w:t>
            </w:r>
            <w:r w:rsidR="00314593">
              <w:rPr>
                <w:noProof/>
                <w:webHidden/>
              </w:rPr>
              <w:tab/>
            </w:r>
            <w:r w:rsidR="00314593">
              <w:rPr>
                <w:noProof/>
                <w:webHidden/>
              </w:rPr>
              <w:fldChar w:fldCharType="begin"/>
            </w:r>
            <w:r w:rsidR="00314593">
              <w:rPr>
                <w:noProof/>
                <w:webHidden/>
              </w:rPr>
              <w:instrText xml:space="preserve"> PAGEREF _Toc477323754 \h </w:instrText>
            </w:r>
            <w:r w:rsidR="00314593">
              <w:rPr>
                <w:noProof/>
                <w:webHidden/>
              </w:rPr>
            </w:r>
            <w:r w:rsidR="00314593">
              <w:rPr>
                <w:noProof/>
                <w:webHidden/>
              </w:rPr>
              <w:fldChar w:fldCharType="separate"/>
            </w:r>
            <w:r>
              <w:rPr>
                <w:noProof/>
                <w:webHidden/>
              </w:rPr>
              <w:t>5</w:t>
            </w:r>
            <w:r w:rsidR="00314593">
              <w:rPr>
                <w:noProof/>
                <w:webHidden/>
              </w:rPr>
              <w:fldChar w:fldCharType="end"/>
            </w:r>
          </w:hyperlink>
        </w:p>
        <w:p w14:paraId="44AB07EF" w14:textId="77777777" w:rsidR="00314593" w:rsidRDefault="000620C9">
          <w:pPr>
            <w:pStyle w:val="Obsah1"/>
            <w:tabs>
              <w:tab w:val="right" w:leader="dot" w:pos="9062"/>
            </w:tabs>
            <w:rPr>
              <w:rFonts w:cstheme="minorBidi"/>
              <w:noProof/>
            </w:rPr>
          </w:pPr>
          <w:hyperlink w:anchor="_Toc477323755" w:history="1">
            <w:r w:rsidR="00314593" w:rsidRPr="00EE1BA9">
              <w:rPr>
                <w:rStyle w:val="Hypertextovodkaz"/>
                <w:noProof/>
              </w:rPr>
              <w:t>Analýza dopadu na stávající smlouvy o poskytnutí služby přepravy plynu</w:t>
            </w:r>
            <w:r w:rsidR="00314593">
              <w:rPr>
                <w:noProof/>
                <w:webHidden/>
              </w:rPr>
              <w:tab/>
            </w:r>
            <w:r w:rsidR="00314593">
              <w:rPr>
                <w:noProof/>
                <w:webHidden/>
              </w:rPr>
              <w:fldChar w:fldCharType="begin"/>
            </w:r>
            <w:r w:rsidR="00314593">
              <w:rPr>
                <w:noProof/>
                <w:webHidden/>
              </w:rPr>
              <w:instrText xml:space="preserve"> PAGEREF _Toc477323755 \h </w:instrText>
            </w:r>
            <w:r w:rsidR="00314593">
              <w:rPr>
                <w:noProof/>
                <w:webHidden/>
              </w:rPr>
            </w:r>
            <w:r w:rsidR="00314593">
              <w:rPr>
                <w:noProof/>
                <w:webHidden/>
              </w:rPr>
              <w:fldChar w:fldCharType="separate"/>
            </w:r>
            <w:r>
              <w:rPr>
                <w:noProof/>
                <w:webHidden/>
              </w:rPr>
              <w:t>5</w:t>
            </w:r>
            <w:r w:rsidR="00314593">
              <w:rPr>
                <w:noProof/>
                <w:webHidden/>
              </w:rPr>
              <w:fldChar w:fldCharType="end"/>
            </w:r>
          </w:hyperlink>
        </w:p>
        <w:p w14:paraId="705C3416" w14:textId="77777777" w:rsidR="00314593" w:rsidRDefault="000620C9">
          <w:pPr>
            <w:pStyle w:val="Obsah1"/>
            <w:tabs>
              <w:tab w:val="right" w:leader="dot" w:pos="9062"/>
            </w:tabs>
            <w:rPr>
              <w:rFonts w:cstheme="minorBidi"/>
              <w:noProof/>
            </w:rPr>
          </w:pPr>
          <w:hyperlink w:anchor="_Toc477323756" w:history="1">
            <w:r w:rsidR="00314593" w:rsidRPr="00EE1BA9">
              <w:rPr>
                <w:rStyle w:val="Hypertextovodkaz"/>
                <w:noProof/>
              </w:rPr>
              <w:t>Varianty způsobu pokrytí výpadku výnosů provozovatele přepravní soustavy</w:t>
            </w:r>
            <w:r w:rsidR="00314593">
              <w:rPr>
                <w:noProof/>
                <w:webHidden/>
              </w:rPr>
              <w:tab/>
            </w:r>
            <w:r w:rsidR="00314593">
              <w:rPr>
                <w:noProof/>
                <w:webHidden/>
              </w:rPr>
              <w:fldChar w:fldCharType="begin"/>
            </w:r>
            <w:r w:rsidR="00314593">
              <w:rPr>
                <w:noProof/>
                <w:webHidden/>
              </w:rPr>
              <w:instrText xml:space="preserve"> PAGEREF _Toc477323756 \h </w:instrText>
            </w:r>
            <w:r w:rsidR="00314593">
              <w:rPr>
                <w:noProof/>
                <w:webHidden/>
              </w:rPr>
            </w:r>
            <w:r w:rsidR="00314593">
              <w:rPr>
                <w:noProof/>
                <w:webHidden/>
              </w:rPr>
              <w:fldChar w:fldCharType="separate"/>
            </w:r>
            <w:r>
              <w:rPr>
                <w:noProof/>
                <w:webHidden/>
              </w:rPr>
              <w:t>5</w:t>
            </w:r>
            <w:r w:rsidR="00314593">
              <w:rPr>
                <w:noProof/>
                <w:webHidden/>
              </w:rPr>
              <w:fldChar w:fldCharType="end"/>
            </w:r>
          </w:hyperlink>
        </w:p>
        <w:p w14:paraId="1C472F26" w14:textId="77777777" w:rsidR="00314593" w:rsidRDefault="000620C9">
          <w:pPr>
            <w:pStyle w:val="Obsah1"/>
            <w:tabs>
              <w:tab w:val="right" w:leader="dot" w:pos="9062"/>
            </w:tabs>
            <w:rPr>
              <w:rFonts w:cstheme="minorBidi"/>
              <w:noProof/>
            </w:rPr>
          </w:pPr>
          <w:hyperlink w:anchor="_Toc477323757" w:history="1">
            <w:r w:rsidR="00314593" w:rsidRPr="00EE1BA9">
              <w:rPr>
                <w:rStyle w:val="Hypertextovodkaz"/>
                <w:noProof/>
              </w:rPr>
              <w:t>Přínosy pokročilé virtualizace</w:t>
            </w:r>
            <w:r w:rsidR="00314593">
              <w:rPr>
                <w:noProof/>
                <w:webHidden/>
              </w:rPr>
              <w:tab/>
            </w:r>
            <w:r w:rsidR="00314593">
              <w:rPr>
                <w:noProof/>
                <w:webHidden/>
              </w:rPr>
              <w:fldChar w:fldCharType="begin"/>
            </w:r>
            <w:r w:rsidR="00314593">
              <w:rPr>
                <w:noProof/>
                <w:webHidden/>
              </w:rPr>
              <w:instrText xml:space="preserve"> PAGEREF _Toc477323757 \h </w:instrText>
            </w:r>
            <w:r w:rsidR="00314593">
              <w:rPr>
                <w:noProof/>
                <w:webHidden/>
              </w:rPr>
            </w:r>
            <w:r w:rsidR="00314593">
              <w:rPr>
                <w:noProof/>
                <w:webHidden/>
              </w:rPr>
              <w:fldChar w:fldCharType="separate"/>
            </w:r>
            <w:r>
              <w:rPr>
                <w:noProof/>
                <w:webHidden/>
              </w:rPr>
              <w:t>6</w:t>
            </w:r>
            <w:r w:rsidR="00314593">
              <w:rPr>
                <w:noProof/>
                <w:webHidden/>
              </w:rPr>
              <w:fldChar w:fldCharType="end"/>
            </w:r>
          </w:hyperlink>
        </w:p>
        <w:p w14:paraId="71E881B8" w14:textId="77777777" w:rsidR="00314593" w:rsidRDefault="000620C9">
          <w:pPr>
            <w:pStyle w:val="Obsah1"/>
            <w:tabs>
              <w:tab w:val="right" w:leader="dot" w:pos="9062"/>
            </w:tabs>
            <w:rPr>
              <w:rFonts w:cstheme="minorBidi"/>
              <w:noProof/>
            </w:rPr>
          </w:pPr>
          <w:hyperlink w:anchor="_Toc477323758" w:history="1">
            <w:r w:rsidR="00314593" w:rsidRPr="00EE1BA9">
              <w:rPr>
                <w:rStyle w:val="Hypertextovodkaz"/>
                <w:noProof/>
              </w:rPr>
              <w:t>Přínos pokročilé virtualizace ke zvýšení využití zásobníků a tím ke zvýšení bezpečnosti dodávek v ČR</w:t>
            </w:r>
            <w:r w:rsidR="00314593">
              <w:rPr>
                <w:noProof/>
                <w:webHidden/>
              </w:rPr>
              <w:tab/>
            </w:r>
            <w:r w:rsidR="00314593">
              <w:rPr>
                <w:noProof/>
                <w:webHidden/>
              </w:rPr>
              <w:fldChar w:fldCharType="begin"/>
            </w:r>
            <w:r w:rsidR="00314593">
              <w:rPr>
                <w:noProof/>
                <w:webHidden/>
              </w:rPr>
              <w:instrText xml:space="preserve"> PAGEREF _Toc477323758 \h </w:instrText>
            </w:r>
            <w:r w:rsidR="00314593">
              <w:rPr>
                <w:noProof/>
                <w:webHidden/>
              </w:rPr>
            </w:r>
            <w:r w:rsidR="00314593">
              <w:rPr>
                <w:noProof/>
                <w:webHidden/>
              </w:rPr>
              <w:fldChar w:fldCharType="separate"/>
            </w:r>
            <w:r>
              <w:rPr>
                <w:noProof/>
                <w:webHidden/>
              </w:rPr>
              <w:t>6</w:t>
            </w:r>
            <w:r w:rsidR="00314593">
              <w:rPr>
                <w:noProof/>
                <w:webHidden/>
              </w:rPr>
              <w:fldChar w:fldCharType="end"/>
            </w:r>
          </w:hyperlink>
        </w:p>
        <w:p w14:paraId="7FC56388" w14:textId="77777777" w:rsidR="00314593" w:rsidRDefault="000620C9">
          <w:pPr>
            <w:pStyle w:val="Obsah1"/>
            <w:tabs>
              <w:tab w:val="right" w:leader="dot" w:pos="9062"/>
            </w:tabs>
            <w:rPr>
              <w:rFonts w:cstheme="minorBidi"/>
              <w:noProof/>
            </w:rPr>
          </w:pPr>
          <w:hyperlink w:anchor="_Toc477323759" w:history="1">
            <w:r w:rsidR="00314593" w:rsidRPr="00EE1BA9">
              <w:rPr>
                <w:rStyle w:val="Hypertextovodkaz"/>
                <w:noProof/>
              </w:rPr>
              <w:t>Dopady pokročilé virtualizace na jednotlivé účastníky trhu s plynem</w:t>
            </w:r>
            <w:r w:rsidR="00314593">
              <w:rPr>
                <w:noProof/>
                <w:webHidden/>
              </w:rPr>
              <w:tab/>
            </w:r>
            <w:r w:rsidR="00314593">
              <w:rPr>
                <w:noProof/>
                <w:webHidden/>
              </w:rPr>
              <w:fldChar w:fldCharType="begin"/>
            </w:r>
            <w:r w:rsidR="00314593">
              <w:rPr>
                <w:noProof/>
                <w:webHidden/>
              </w:rPr>
              <w:instrText xml:space="preserve"> PAGEREF _Toc477323759 \h </w:instrText>
            </w:r>
            <w:r w:rsidR="00314593">
              <w:rPr>
                <w:noProof/>
                <w:webHidden/>
              </w:rPr>
            </w:r>
            <w:r w:rsidR="00314593">
              <w:rPr>
                <w:noProof/>
                <w:webHidden/>
              </w:rPr>
              <w:fldChar w:fldCharType="separate"/>
            </w:r>
            <w:r>
              <w:rPr>
                <w:noProof/>
                <w:webHidden/>
              </w:rPr>
              <w:t>7</w:t>
            </w:r>
            <w:r w:rsidR="00314593">
              <w:rPr>
                <w:noProof/>
                <w:webHidden/>
              </w:rPr>
              <w:fldChar w:fldCharType="end"/>
            </w:r>
          </w:hyperlink>
        </w:p>
        <w:p w14:paraId="528843A1" w14:textId="77777777" w:rsidR="00314593" w:rsidRDefault="000620C9">
          <w:pPr>
            <w:pStyle w:val="Obsah1"/>
            <w:tabs>
              <w:tab w:val="right" w:leader="dot" w:pos="9062"/>
            </w:tabs>
            <w:rPr>
              <w:rFonts w:cstheme="minorBidi"/>
              <w:noProof/>
            </w:rPr>
          </w:pPr>
          <w:hyperlink w:anchor="_Toc477323760" w:history="1">
            <w:r w:rsidR="00314593" w:rsidRPr="00EE1BA9">
              <w:rPr>
                <w:rStyle w:val="Hypertextovodkaz"/>
                <w:noProof/>
              </w:rPr>
              <w:t>Analýza předpokládaného zvýšení likvidity na VOB a následného pozitivního cenového efektu pro koncové zákazníky</w:t>
            </w:r>
            <w:r w:rsidR="00314593">
              <w:rPr>
                <w:noProof/>
                <w:webHidden/>
              </w:rPr>
              <w:tab/>
            </w:r>
            <w:r w:rsidR="00314593">
              <w:rPr>
                <w:noProof/>
                <w:webHidden/>
              </w:rPr>
              <w:fldChar w:fldCharType="begin"/>
            </w:r>
            <w:r w:rsidR="00314593">
              <w:rPr>
                <w:noProof/>
                <w:webHidden/>
              </w:rPr>
              <w:instrText xml:space="preserve"> PAGEREF _Toc477323760 \h </w:instrText>
            </w:r>
            <w:r w:rsidR="00314593">
              <w:rPr>
                <w:noProof/>
                <w:webHidden/>
              </w:rPr>
            </w:r>
            <w:r w:rsidR="00314593">
              <w:rPr>
                <w:noProof/>
                <w:webHidden/>
              </w:rPr>
              <w:fldChar w:fldCharType="separate"/>
            </w:r>
            <w:r>
              <w:rPr>
                <w:noProof/>
                <w:webHidden/>
              </w:rPr>
              <w:t>10</w:t>
            </w:r>
            <w:r w:rsidR="00314593">
              <w:rPr>
                <w:noProof/>
                <w:webHidden/>
              </w:rPr>
              <w:fldChar w:fldCharType="end"/>
            </w:r>
          </w:hyperlink>
        </w:p>
        <w:p w14:paraId="50974EA1" w14:textId="77777777" w:rsidR="00314593" w:rsidRDefault="000620C9">
          <w:pPr>
            <w:pStyle w:val="Obsah1"/>
            <w:tabs>
              <w:tab w:val="right" w:leader="dot" w:pos="9062"/>
            </w:tabs>
            <w:rPr>
              <w:rFonts w:cstheme="minorBidi"/>
              <w:noProof/>
            </w:rPr>
          </w:pPr>
          <w:hyperlink w:anchor="_Toc477323761" w:history="1">
            <w:r w:rsidR="00314593" w:rsidRPr="00EE1BA9">
              <w:rPr>
                <w:rStyle w:val="Hypertextovodkaz"/>
                <w:noProof/>
              </w:rPr>
              <w:t>Cost-benefit analýza pokročilé virtualizace pro jednotlivé účastníky trhu s plynem</w:t>
            </w:r>
            <w:r w:rsidR="00314593">
              <w:rPr>
                <w:noProof/>
                <w:webHidden/>
              </w:rPr>
              <w:tab/>
            </w:r>
            <w:r w:rsidR="00314593">
              <w:rPr>
                <w:noProof/>
                <w:webHidden/>
              </w:rPr>
              <w:fldChar w:fldCharType="begin"/>
            </w:r>
            <w:r w:rsidR="00314593">
              <w:rPr>
                <w:noProof/>
                <w:webHidden/>
              </w:rPr>
              <w:instrText xml:space="preserve"> PAGEREF _Toc477323761 \h </w:instrText>
            </w:r>
            <w:r w:rsidR="00314593">
              <w:rPr>
                <w:noProof/>
                <w:webHidden/>
              </w:rPr>
            </w:r>
            <w:r w:rsidR="00314593">
              <w:rPr>
                <w:noProof/>
                <w:webHidden/>
              </w:rPr>
              <w:fldChar w:fldCharType="separate"/>
            </w:r>
            <w:r>
              <w:rPr>
                <w:noProof/>
                <w:webHidden/>
              </w:rPr>
              <w:t>12</w:t>
            </w:r>
            <w:r w:rsidR="00314593">
              <w:rPr>
                <w:noProof/>
                <w:webHidden/>
              </w:rPr>
              <w:fldChar w:fldCharType="end"/>
            </w:r>
          </w:hyperlink>
        </w:p>
        <w:p w14:paraId="57B059D8" w14:textId="77777777" w:rsidR="00314593" w:rsidRDefault="000620C9">
          <w:pPr>
            <w:pStyle w:val="Obsah1"/>
            <w:tabs>
              <w:tab w:val="right" w:leader="dot" w:pos="9062"/>
            </w:tabs>
            <w:rPr>
              <w:rFonts w:cstheme="minorBidi"/>
              <w:noProof/>
            </w:rPr>
          </w:pPr>
          <w:hyperlink w:anchor="_Toc477323762" w:history="1">
            <w:r w:rsidR="00314593" w:rsidRPr="00EE1BA9">
              <w:rPr>
                <w:rStyle w:val="Hypertextovodkaz"/>
                <w:noProof/>
              </w:rPr>
              <w:t>Přínosy pro uživatele domácího bodu</w:t>
            </w:r>
            <w:r w:rsidR="00314593">
              <w:rPr>
                <w:noProof/>
                <w:webHidden/>
              </w:rPr>
              <w:tab/>
            </w:r>
            <w:r w:rsidR="00314593">
              <w:rPr>
                <w:noProof/>
                <w:webHidden/>
              </w:rPr>
              <w:fldChar w:fldCharType="begin"/>
            </w:r>
            <w:r w:rsidR="00314593">
              <w:rPr>
                <w:noProof/>
                <w:webHidden/>
              </w:rPr>
              <w:instrText xml:space="preserve"> PAGEREF _Toc477323762 \h </w:instrText>
            </w:r>
            <w:r w:rsidR="00314593">
              <w:rPr>
                <w:noProof/>
                <w:webHidden/>
              </w:rPr>
            </w:r>
            <w:r w:rsidR="00314593">
              <w:rPr>
                <w:noProof/>
                <w:webHidden/>
              </w:rPr>
              <w:fldChar w:fldCharType="separate"/>
            </w:r>
            <w:r>
              <w:rPr>
                <w:noProof/>
                <w:webHidden/>
              </w:rPr>
              <w:t>13</w:t>
            </w:r>
            <w:r w:rsidR="00314593">
              <w:rPr>
                <w:noProof/>
                <w:webHidden/>
              </w:rPr>
              <w:fldChar w:fldCharType="end"/>
            </w:r>
          </w:hyperlink>
        </w:p>
        <w:p w14:paraId="237387C4" w14:textId="77777777" w:rsidR="00314593" w:rsidRDefault="000620C9">
          <w:pPr>
            <w:pStyle w:val="Obsah1"/>
            <w:tabs>
              <w:tab w:val="right" w:leader="dot" w:pos="9062"/>
            </w:tabs>
            <w:rPr>
              <w:rFonts w:cstheme="minorBidi"/>
              <w:noProof/>
            </w:rPr>
          </w:pPr>
          <w:hyperlink w:anchor="_Toc477323763" w:history="1">
            <w:r w:rsidR="00314593" w:rsidRPr="00EE1BA9">
              <w:rPr>
                <w:rStyle w:val="Hypertextovodkaz"/>
                <w:noProof/>
              </w:rPr>
              <w:t>SWOT analýza pokročilé virtualizace</w:t>
            </w:r>
            <w:r w:rsidR="00314593">
              <w:rPr>
                <w:noProof/>
                <w:webHidden/>
              </w:rPr>
              <w:tab/>
            </w:r>
            <w:r w:rsidR="00314593">
              <w:rPr>
                <w:noProof/>
                <w:webHidden/>
              </w:rPr>
              <w:fldChar w:fldCharType="begin"/>
            </w:r>
            <w:r w:rsidR="00314593">
              <w:rPr>
                <w:noProof/>
                <w:webHidden/>
              </w:rPr>
              <w:instrText xml:space="preserve"> PAGEREF _Toc477323763 \h </w:instrText>
            </w:r>
            <w:r w:rsidR="00314593">
              <w:rPr>
                <w:noProof/>
                <w:webHidden/>
              </w:rPr>
            </w:r>
            <w:r w:rsidR="00314593">
              <w:rPr>
                <w:noProof/>
                <w:webHidden/>
              </w:rPr>
              <w:fldChar w:fldCharType="separate"/>
            </w:r>
            <w:r>
              <w:rPr>
                <w:noProof/>
                <w:webHidden/>
              </w:rPr>
              <w:t>14</w:t>
            </w:r>
            <w:r w:rsidR="00314593">
              <w:rPr>
                <w:noProof/>
                <w:webHidden/>
              </w:rPr>
              <w:fldChar w:fldCharType="end"/>
            </w:r>
          </w:hyperlink>
        </w:p>
        <w:p w14:paraId="222C2AF1" w14:textId="77777777" w:rsidR="00314593" w:rsidRDefault="000620C9">
          <w:pPr>
            <w:pStyle w:val="Obsah1"/>
            <w:tabs>
              <w:tab w:val="right" w:leader="dot" w:pos="9062"/>
            </w:tabs>
            <w:rPr>
              <w:rFonts w:cstheme="minorBidi"/>
              <w:noProof/>
            </w:rPr>
          </w:pPr>
          <w:hyperlink w:anchor="_Toc477323764" w:history="1">
            <w:r w:rsidR="00314593" w:rsidRPr="00EE1BA9">
              <w:rPr>
                <w:rStyle w:val="Hypertextovodkaz"/>
                <w:noProof/>
              </w:rPr>
              <w:t>Zhodnocení rizik návrhu</w:t>
            </w:r>
            <w:r w:rsidR="00314593">
              <w:rPr>
                <w:noProof/>
                <w:webHidden/>
              </w:rPr>
              <w:tab/>
            </w:r>
            <w:r w:rsidR="00314593">
              <w:rPr>
                <w:noProof/>
                <w:webHidden/>
              </w:rPr>
              <w:fldChar w:fldCharType="begin"/>
            </w:r>
            <w:r w:rsidR="00314593">
              <w:rPr>
                <w:noProof/>
                <w:webHidden/>
              </w:rPr>
              <w:instrText xml:space="preserve"> PAGEREF _Toc477323764 \h </w:instrText>
            </w:r>
            <w:r w:rsidR="00314593">
              <w:rPr>
                <w:noProof/>
                <w:webHidden/>
              </w:rPr>
            </w:r>
            <w:r w:rsidR="00314593">
              <w:rPr>
                <w:noProof/>
                <w:webHidden/>
              </w:rPr>
              <w:fldChar w:fldCharType="separate"/>
            </w:r>
            <w:r>
              <w:rPr>
                <w:noProof/>
                <w:webHidden/>
              </w:rPr>
              <w:t>15</w:t>
            </w:r>
            <w:r w:rsidR="00314593">
              <w:rPr>
                <w:noProof/>
                <w:webHidden/>
              </w:rPr>
              <w:fldChar w:fldCharType="end"/>
            </w:r>
          </w:hyperlink>
        </w:p>
        <w:p w14:paraId="137836FF" w14:textId="77777777" w:rsidR="00314593" w:rsidRDefault="000620C9">
          <w:pPr>
            <w:pStyle w:val="Obsah1"/>
            <w:tabs>
              <w:tab w:val="right" w:leader="dot" w:pos="9062"/>
            </w:tabs>
            <w:rPr>
              <w:rFonts w:cstheme="minorBidi"/>
              <w:noProof/>
            </w:rPr>
          </w:pPr>
          <w:hyperlink w:anchor="_Toc477323765" w:history="1">
            <w:r w:rsidR="00314593" w:rsidRPr="00EE1BA9">
              <w:rPr>
                <w:rStyle w:val="Hypertextovodkaz"/>
                <w:noProof/>
              </w:rPr>
              <w:t>Zhodnocení trhu se skladovací kapacitou v zemích EU a popis regulatorních režimů v zemích, kde se uplatňuje řešení podobné s návrhem</w:t>
            </w:r>
            <w:r w:rsidR="00314593">
              <w:rPr>
                <w:noProof/>
                <w:webHidden/>
              </w:rPr>
              <w:tab/>
            </w:r>
            <w:r w:rsidR="00314593">
              <w:rPr>
                <w:noProof/>
                <w:webHidden/>
              </w:rPr>
              <w:fldChar w:fldCharType="begin"/>
            </w:r>
            <w:r w:rsidR="00314593">
              <w:rPr>
                <w:noProof/>
                <w:webHidden/>
              </w:rPr>
              <w:instrText xml:space="preserve"> PAGEREF _Toc477323765 \h </w:instrText>
            </w:r>
            <w:r w:rsidR="00314593">
              <w:rPr>
                <w:noProof/>
                <w:webHidden/>
              </w:rPr>
            </w:r>
            <w:r w:rsidR="00314593">
              <w:rPr>
                <w:noProof/>
                <w:webHidden/>
              </w:rPr>
              <w:fldChar w:fldCharType="separate"/>
            </w:r>
            <w:r>
              <w:rPr>
                <w:noProof/>
                <w:webHidden/>
              </w:rPr>
              <w:t>16</w:t>
            </w:r>
            <w:r w:rsidR="00314593">
              <w:rPr>
                <w:noProof/>
                <w:webHidden/>
              </w:rPr>
              <w:fldChar w:fldCharType="end"/>
            </w:r>
          </w:hyperlink>
        </w:p>
        <w:p w14:paraId="05E28724" w14:textId="77777777" w:rsidR="00314593" w:rsidRDefault="000620C9">
          <w:pPr>
            <w:pStyle w:val="Obsah1"/>
            <w:tabs>
              <w:tab w:val="right" w:leader="dot" w:pos="9062"/>
            </w:tabs>
            <w:rPr>
              <w:rFonts w:cstheme="minorBidi"/>
              <w:noProof/>
            </w:rPr>
          </w:pPr>
          <w:hyperlink w:anchor="_Toc477323766" w:history="1">
            <w:r w:rsidR="00314593" w:rsidRPr="00EE1BA9">
              <w:rPr>
                <w:rStyle w:val="Hypertextovodkaz"/>
                <w:noProof/>
              </w:rPr>
              <w:t>Posouzení návrhu s  ohledem na stabilitu a dlouhodobou udržitelnost regulačních principů</w:t>
            </w:r>
            <w:r w:rsidR="00314593">
              <w:rPr>
                <w:noProof/>
                <w:webHidden/>
              </w:rPr>
              <w:tab/>
            </w:r>
            <w:r w:rsidR="00314593">
              <w:rPr>
                <w:noProof/>
                <w:webHidden/>
              </w:rPr>
              <w:fldChar w:fldCharType="begin"/>
            </w:r>
            <w:r w:rsidR="00314593">
              <w:rPr>
                <w:noProof/>
                <w:webHidden/>
              </w:rPr>
              <w:instrText xml:space="preserve"> PAGEREF _Toc477323766 \h </w:instrText>
            </w:r>
            <w:r w:rsidR="00314593">
              <w:rPr>
                <w:noProof/>
                <w:webHidden/>
              </w:rPr>
            </w:r>
            <w:r w:rsidR="00314593">
              <w:rPr>
                <w:noProof/>
                <w:webHidden/>
              </w:rPr>
              <w:fldChar w:fldCharType="separate"/>
            </w:r>
            <w:r>
              <w:rPr>
                <w:noProof/>
                <w:webHidden/>
              </w:rPr>
              <w:t>17</w:t>
            </w:r>
            <w:r w:rsidR="00314593">
              <w:rPr>
                <w:noProof/>
                <w:webHidden/>
              </w:rPr>
              <w:fldChar w:fldCharType="end"/>
            </w:r>
          </w:hyperlink>
        </w:p>
        <w:p w14:paraId="5E6733E3" w14:textId="77777777" w:rsidR="00314593" w:rsidRDefault="000620C9">
          <w:pPr>
            <w:pStyle w:val="Obsah1"/>
            <w:tabs>
              <w:tab w:val="right" w:leader="dot" w:pos="9062"/>
            </w:tabs>
            <w:rPr>
              <w:rFonts w:cstheme="minorBidi"/>
              <w:noProof/>
            </w:rPr>
          </w:pPr>
          <w:hyperlink w:anchor="_Toc477323767" w:history="1">
            <w:r w:rsidR="00314593" w:rsidRPr="00EE1BA9">
              <w:rPr>
                <w:rStyle w:val="Hypertextovodkaz"/>
                <w:noProof/>
              </w:rPr>
              <w:t>Vliv na bezpečnostní standard dodávky, plán preventivních opatření a plán pro stav nouze</w:t>
            </w:r>
            <w:r w:rsidR="00314593">
              <w:rPr>
                <w:noProof/>
                <w:webHidden/>
              </w:rPr>
              <w:tab/>
            </w:r>
            <w:r w:rsidR="00314593">
              <w:rPr>
                <w:noProof/>
                <w:webHidden/>
              </w:rPr>
              <w:fldChar w:fldCharType="begin"/>
            </w:r>
            <w:r w:rsidR="00314593">
              <w:rPr>
                <w:noProof/>
                <w:webHidden/>
              </w:rPr>
              <w:instrText xml:space="preserve"> PAGEREF _Toc477323767 \h </w:instrText>
            </w:r>
            <w:r w:rsidR="00314593">
              <w:rPr>
                <w:noProof/>
                <w:webHidden/>
              </w:rPr>
            </w:r>
            <w:r w:rsidR="00314593">
              <w:rPr>
                <w:noProof/>
                <w:webHidden/>
              </w:rPr>
              <w:fldChar w:fldCharType="separate"/>
            </w:r>
            <w:r>
              <w:rPr>
                <w:noProof/>
                <w:webHidden/>
              </w:rPr>
              <w:t>17</w:t>
            </w:r>
            <w:r w:rsidR="00314593">
              <w:rPr>
                <w:noProof/>
                <w:webHidden/>
              </w:rPr>
              <w:fldChar w:fldCharType="end"/>
            </w:r>
          </w:hyperlink>
        </w:p>
        <w:p w14:paraId="383E7411" w14:textId="77777777" w:rsidR="00314593" w:rsidRDefault="000620C9">
          <w:pPr>
            <w:pStyle w:val="Obsah1"/>
            <w:tabs>
              <w:tab w:val="right" w:leader="dot" w:pos="9062"/>
            </w:tabs>
            <w:rPr>
              <w:rFonts w:cstheme="minorBidi"/>
              <w:noProof/>
            </w:rPr>
          </w:pPr>
          <w:hyperlink w:anchor="_Toc477323768" w:history="1">
            <w:r w:rsidR="00314593" w:rsidRPr="00EE1BA9">
              <w:rPr>
                <w:rStyle w:val="Hypertextovodkaz"/>
                <w:noProof/>
              </w:rPr>
              <w:t>Posouzení návrhu z hlediska kapacitní situace v regionu severní Moravy</w:t>
            </w:r>
            <w:r w:rsidR="00314593">
              <w:rPr>
                <w:noProof/>
                <w:webHidden/>
              </w:rPr>
              <w:tab/>
            </w:r>
            <w:r w:rsidR="00314593">
              <w:rPr>
                <w:noProof/>
                <w:webHidden/>
              </w:rPr>
              <w:fldChar w:fldCharType="begin"/>
            </w:r>
            <w:r w:rsidR="00314593">
              <w:rPr>
                <w:noProof/>
                <w:webHidden/>
              </w:rPr>
              <w:instrText xml:space="preserve"> PAGEREF _Toc477323768 \h </w:instrText>
            </w:r>
            <w:r w:rsidR="00314593">
              <w:rPr>
                <w:noProof/>
                <w:webHidden/>
              </w:rPr>
            </w:r>
            <w:r w:rsidR="00314593">
              <w:rPr>
                <w:noProof/>
                <w:webHidden/>
              </w:rPr>
              <w:fldChar w:fldCharType="separate"/>
            </w:r>
            <w:r>
              <w:rPr>
                <w:noProof/>
                <w:webHidden/>
              </w:rPr>
              <w:t>17</w:t>
            </w:r>
            <w:r w:rsidR="00314593">
              <w:rPr>
                <w:noProof/>
                <w:webHidden/>
              </w:rPr>
              <w:fldChar w:fldCharType="end"/>
            </w:r>
          </w:hyperlink>
        </w:p>
        <w:p w14:paraId="4EF77988" w14:textId="77777777" w:rsidR="00314593" w:rsidRDefault="000620C9">
          <w:pPr>
            <w:pStyle w:val="Obsah1"/>
            <w:tabs>
              <w:tab w:val="right" w:leader="dot" w:pos="9062"/>
            </w:tabs>
            <w:rPr>
              <w:rFonts w:cstheme="minorBidi"/>
              <w:noProof/>
            </w:rPr>
          </w:pPr>
          <w:hyperlink w:anchor="_Toc477323769" w:history="1">
            <w:r w:rsidR="00314593" w:rsidRPr="00EE1BA9">
              <w:rPr>
                <w:rStyle w:val="Hypertextovodkaz"/>
                <w:noProof/>
              </w:rPr>
              <w:t>Zhodnocení dopadu návrhu na subjekty, které jsou součástí téhož koncernu</w:t>
            </w:r>
            <w:r w:rsidR="00314593">
              <w:rPr>
                <w:noProof/>
                <w:webHidden/>
              </w:rPr>
              <w:tab/>
            </w:r>
            <w:r w:rsidR="00314593">
              <w:rPr>
                <w:noProof/>
                <w:webHidden/>
              </w:rPr>
              <w:fldChar w:fldCharType="begin"/>
            </w:r>
            <w:r w:rsidR="00314593">
              <w:rPr>
                <w:noProof/>
                <w:webHidden/>
              </w:rPr>
              <w:instrText xml:space="preserve"> PAGEREF _Toc477323769 \h </w:instrText>
            </w:r>
            <w:r w:rsidR="00314593">
              <w:rPr>
                <w:noProof/>
                <w:webHidden/>
              </w:rPr>
            </w:r>
            <w:r w:rsidR="00314593">
              <w:rPr>
                <w:noProof/>
                <w:webHidden/>
              </w:rPr>
              <w:fldChar w:fldCharType="separate"/>
            </w:r>
            <w:r>
              <w:rPr>
                <w:noProof/>
                <w:webHidden/>
              </w:rPr>
              <w:t>18</w:t>
            </w:r>
            <w:r w:rsidR="00314593">
              <w:rPr>
                <w:noProof/>
                <w:webHidden/>
              </w:rPr>
              <w:fldChar w:fldCharType="end"/>
            </w:r>
          </w:hyperlink>
        </w:p>
        <w:p w14:paraId="06FE2995" w14:textId="77777777" w:rsidR="00314593" w:rsidRDefault="000620C9">
          <w:pPr>
            <w:pStyle w:val="Obsah1"/>
            <w:tabs>
              <w:tab w:val="right" w:leader="dot" w:pos="9062"/>
            </w:tabs>
            <w:rPr>
              <w:rFonts w:cstheme="minorBidi"/>
              <w:noProof/>
            </w:rPr>
          </w:pPr>
          <w:hyperlink w:anchor="_Toc477323770" w:history="1">
            <w:r w:rsidR="00314593" w:rsidRPr="00EE1BA9">
              <w:rPr>
                <w:rStyle w:val="Hypertextovodkaz"/>
                <w:noProof/>
              </w:rPr>
              <w:t>Zhodnocení souladu návrhu s 3. energetickým balíčkem, především s ustanovením článku 13 nařízení (ES) č. 715/2009</w:t>
            </w:r>
            <w:r w:rsidR="00314593">
              <w:rPr>
                <w:noProof/>
                <w:webHidden/>
              </w:rPr>
              <w:tab/>
            </w:r>
            <w:r w:rsidR="00314593">
              <w:rPr>
                <w:noProof/>
                <w:webHidden/>
              </w:rPr>
              <w:fldChar w:fldCharType="begin"/>
            </w:r>
            <w:r w:rsidR="00314593">
              <w:rPr>
                <w:noProof/>
                <w:webHidden/>
              </w:rPr>
              <w:instrText xml:space="preserve"> PAGEREF _Toc477323770 \h </w:instrText>
            </w:r>
            <w:r w:rsidR="00314593">
              <w:rPr>
                <w:noProof/>
                <w:webHidden/>
              </w:rPr>
            </w:r>
            <w:r w:rsidR="00314593">
              <w:rPr>
                <w:noProof/>
                <w:webHidden/>
              </w:rPr>
              <w:fldChar w:fldCharType="separate"/>
            </w:r>
            <w:r>
              <w:rPr>
                <w:noProof/>
                <w:webHidden/>
              </w:rPr>
              <w:t>18</w:t>
            </w:r>
            <w:r w:rsidR="00314593">
              <w:rPr>
                <w:noProof/>
                <w:webHidden/>
              </w:rPr>
              <w:fldChar w:fldCharType="end"/>
            </w:r>
          </w:hyperlink>
        </w:p>
        <w:p w14:paraId="5F8DDE11" w14:textId="77777777" w:rsidR="00314593" w:rsidRDefault="000620C9">
          <w:pPr>
            <w:pStyle w:val="Obsah1"/>
            <w:tabs>
              <w:tab w:val="right" w:leader="dot" w:pos="9062"/>
            </w:tabs>
            <w:rPr>
              <w:rFonts w:cstheme="minorBidi"/>
              <w:noProof/>
            </w:rPr>
          </w:pPr>
          <w:hyperlink w:anchor="_Toc477323771" w:history="1">
            <w:r w:rsidR="00314593" w:rsidRPr="00EE1BA9">
              <w:rPr>
                <w:rStyle w:val="Hypertextovodkaz"/>
                <w:noProof/>
              </w:rPr>
              <w:t>Zhodnocení souladu návrhu se stávající legislativou a NC TAR</w:t>
            </w:r>
            <w:r w:rsidR="00314593">
              <w:rPr>
                <w:noProof/>
                <w:webHidden/>
              </w:rPr>
              <w:tab/>
            </w:r>
            <w:r w:rsidR="00314593">
              <w:rPr>
                <w:noProof/>
                <w:webHidden/>
              </w:rPr>
              <w:fldChar w:fldCharType="begin"/>
            </w:r>
            <w:r w:rsidR="00314593">
              <w:rPr>
                <w:noProof/>
                <w:webHidden/>
              </w:rPr>
              <w:instrText xml:space="preserve"> PAGEREF _Toc477323771 \h </w:instrText>
            </w:r>
            <w:r w:rsidR="00314593">
              <w:rPr>
                <w:noProof/>
                <w:webHidden/>
              </w:rPr>
            </w:r>
            <w:r w:rsidR="00314593">
              <w:rPr>
                <w:noProof/>
                <w:webHidden/>
              </w:rPr>
              <w:fldChar w:fldCharType="separate"/>
            </w:r>
            <w:r>
              <w:rPr>
                <w:noProof/>
                <w:webHidden/>
              </w:rPr>
              <w:t>19</w:t>
            </w:r>
            <w:r w:rsidR="00314593">
              <w:rPr>
                <w:noProof/>
                <w:webHidden/>
              </w:rPr>
              <w:fldChar w:fldCharType="end"/>
            </w:r>
          </w:hyperlink>
        </w:p>
        <w:p w14:paraId="608D2111" w14:textId="77777777" w:rsidR="00314593" w:rsidRDefault="000620C9">
          <w:pPr>
            <w:pStyle w:val="Obsah1"/>
            <w:tabs>
              <w:tab w:val="right" w:leader="dot" w:pos="9062"/>
            </w:tabs>
            <w:rPr>
              <w:rFonts w:cstheme="minorBidi"/>
              <w:noProof/>
            </w:rPr>
          </w:pPr>
          <w:hyperlink w:anchor="_Toc477323772" w:history="1">
            <w:r w:rsidR="00314593" w:rsidRPr="00EE1BA9">
              <w:rPr>
                <w:rStyle w:val="Hypertextovodkaz"/>
                <w:noProof/>
              </w:rPr>
              <w:t>Posouzení návrhu v kontextu požadavků vyplývajících z REMIT</w:t>
            </w:r>
            <w:r w:rsidR="00314593">
              <w:rPr>
                <w:noProof/>
                <w:webHidden/>
              </w:rPr>
              <w:tab/>
            </w:r>
            <w:r w:rsidR="00314593">
              <w:rPr>
                <w:noProof/>
                <w:webHidden/>
              </w:rPr>
              <w:fldChar w:fldCharType="begin"/>
            </w:r>
            <w:r w:rsidR="00314593">
              <w:rPr>
                <w:noProof/>
                <w:webHidden/>
              </w:rPr>
              <w:instrText xml:space="preserve"> PAGEREF _Toc477323772 \h </w:instrText>
            </w:r>
            <w:r w:rsidR="00314593">
              <w:rPr>
                <w:noProof/>
                <w:webHidden/>
              </w:rPr>
            </w:r>
            <w:r w:rsidR="00314593">
              <w:rPr>
                <w:noProof/>
                <w:webHidden/>
              </w:rPr>
              <w:fldChar w:fldCharType="separate"/>
            </w:r>
            <w:r>
              <w:rPr>
                <w:noProof/>
                <w:webHidden/>
              </w:rPr>
              <w:t>20</w:t>
            </w:r>
            <w:r w:rsidR="00314593">
              <w:rPr>
                <w:noProof/>
                <w:webHidden/>
              </w:rPr>
              <w:fldChar w:fldCharType="end"/>
            </w:r>
          </w:hyperlink>
        </w:p>
        <w:p w14:paraId="213A82C9" w14:textId="77777777" w:rsidR="00314593" w:rsidRDefault="000620C9">
          <w:pPr>
            <w:pStyle w:val="Obsah1"/>
            <w:tabs>
              <w:tab w:val="right" w:leader="dot" w:pos="9062"/>
            </w:tabs>
            <w:rPr>
              <w:rFonts w:cstheme="minorBidi"/>
              <w:noProof/>
            </w:rPr>
          </w:pPr>
          <w:hyperlink w:anchor="_Toc477323773" w:history="1">
            <w:r w:rsidR="00314593" w:rsidRPr="00EE1BA9">
              <w:rPr>
                <w:rStyle w:val="Hypertextovodkaz"/>
                <w:noProof/>
              </w:rPr>
              <w:t>Vyhodnocení úpravy cen za přepravní kapacitu do/z virtuálního zásobníku platné od 1.1.2015</w:t>
            </w:r>
            <w:r w:rsidR="00314593">
              <w:rPr>
                <w:noProof/>
                <w:webHidden/>
              </w:rPr>
              <w:tab/>
            </w:r>
            <w:r w:rsidR="00314593">
              <w:rPr>
                <w:noProof/>
                <w:webHidden/>
              </w:rPr>
              <w:fldChar w:fldCharType="begin"/>
            </w:r>
            <w:r w:rsidR="00314593">
              <w:rPr>
                <w:noProof/>
                <w:webHidden/>
              </w:rPr>
              <w:instrText xml:space="preserve"> PAGEREF _Toc477323773 \h </w:instrText>
            </w:r>
            <w:r w:rsidR="00314593">
              <w:rPr>
                <w:noProof/>
                <w:webHidden/>
              </w:rPr>
            </w:r>
            <w:r w:rsidR="00314593">
              <w:rPr>
                <w:noProof/>
                <w:webHidden/>
              </w:rPr>
              <w:fldChar w:fldCharType="separate"/>
            </w:r>
            <w:r>
              <w:rPr>
                <w:noProof/>
                <w:webHidden/>
              </w:rPr>
              <w:t>20</w:t>
            </w:r>
            <w:r w:rsidR="00314593">
              <w:rPr>
                <w:noProof/>
                <w:webHidden/>
              </w:rPr>
              <w:fldChar w:fldCharType="end"/>
            </w:r>
          </w:hyperlink>
        </w:p>
        <w:p w14:paraId="5CB82B4A" w14:textId="77777777" w:rsidR="00314593" w:rsidRDefault="000620C9">
          <w:pPr>
            <w:pStyle w:val="Obsah1"/>
            <w:tabs>
              <w:tab w:val="right" w:leader="dot" w:pos="9062"/>
            </w:tabs>
            <w:rPr>
              <w:rFonts w:cstheme="minorBidi"/>
              <w:noProof/>
            </w:rPr>
          </w:pPr>
          <w:hyperlink w:anchor="_Toc477323774" w:history="1">
            <w:r w:rsidR="00314593" w:rsidRPr="00EE1BA9">
              <w:rPr>
                <w:rStyle w:val="Hypertextovodkaz"/>
                <w:noProof/>
              </w:rPr>
              <w:t>Fungování návrhu v kontextu přeshraničního využití zásobníku plynu</w:t>
            </w:r>
            <w:r w:rsidR="00314593">
              <w:rPr>
                <w:noProof/>
                <w:webHidden/>
              </w:rPr>
              <w:tab/>
            </w:r>
            <w:r w:rsidR="00314593">
              <w:rPr>
                <w:noProof/>
                <w:webHidden/>
              </w:rPr>
              <w:fldChar w:fldCharType="begin"/>
            </w:r>
            <w:r w:rsidR="00314593">
              <w:rPr>
                <w:noProof/>
                <w:webHidden/>
              </w:rPr>
              <w:instrText xml:space="preserve"> PAGEREF _Toc477323774 \h </w:instrText>
            </w:r>
            <w:r w:rsidR="00314593">
              <w:rPr>
                <w:noProof/>
                <w:webHidden/>
              </w:rPr>
            </w:r>
            <w:r w:rsidR="00314593">
              <w:rPr>
                <w:noProof/>
                <w:webHidden/>
              </w:rPr>
              <w:fldChar w:fldCharType="separate"/>
            </w:r>
            <w:r>
              <w:rPr>
                <w:noProof/>
                <w:webHidden/>
              </w:rPr>
              <w:t>20</w:t>
            </w:r>
            <w:r w:rsidR="00314593">
              <w:rPr>
                <w:noProof/>
                <w:webHidden/>
              </w:rPr>
              <w:fldChar w:fldCharType="end"/>
            </w:r>
          </w:hyperlink>
        </w:p>
        <w:p w14:paraId="2061A0A8" w14:textId="77777777" w:rsidR="00314593" w:rsidRDefault="000620C9">
          <w:pPr>
            <w:pStyle w:val="Obsah1"/>
            <w:tabs>
              <w:tab w:val="right" w:leader="dot" w:pos="9062"/>
            </w:tabs>
            <w:rPr>
              <w:rFonts w:cstheme="minorBidi"/>
              <w:noProof/>
            </w:rPr>
          </w:pPr>
          <w:hyperlink w:anchor="_Toc477323775" w:history="1">
            <w:r w:rsidR="00314593" w:rsidRPr="00EE1BA9">
              <w:rPr>
                <w:rStyle w:val="Hypertextovodkaz"/>
                <w:noProof/>
              </w:rPr>
              <w:t>Zajištění otevřeného přístupu k zásobníkům plynu, dostupných kapacit a konkurenceschopných cen za skladování</w:t>
            </w:r>
            <w:r w:rsidR="00314593">
              <w:rPr>
                <w:noProof/>
                <w:webHidden/>
              </w:rPr>
              <w:tab/>
            </w:r>
            <w:r w:rsidR="00314593">
              <w:rPr>
                <w:noProof/>
                <w:webHidden/>
              </w:rPr>
              <w:fldChar w:fldCharType="begin"/>
            </w:r>
            <w:r w:rsidR="00314593">
              <w:rPr>
                <w:noProof/>
                <w:webHidden/>
              </w:rPr>
              <w:instrText xml:space="preserve"> PAGEREF _Toc477323775 \h </w:instrText>
            </w:r>
            <w:r w:rsidR="00314593">
              <w:rPr>
                <w:noProof/>
                <w:webHidden/>
              </w:rPr>
            </w:r>
            <w:r w:rsidR="00314593">
              <w:rPr>
                <w:noProof/>
                <w:webHidden/>
              </w:rPr>
              <w:fldChar w:fldCharType="separate"/>
            </w:r>
            <w:r>
              <w:rPr>
                <w:noProof/>
                <w:webHidden/>
              </w:rPr>
              <w:t>20</w:t>
            </w:r>
            <w:r w:rsidR="00314593">
              <w:rPr>
                <w:noProof/>
                <w:webHidden/>
              </w:rPr>
              <w:fldChar w:fldCharType="end"/>
            </w:r>
          </w:hyperlink>
        </w:p>
        <w:p w14:paraId="66B05004" w14:textId="16956A19" w:rsidR="00A4375C" w:rsidRDefault="00A4375C" w:rsidP="005A4231">
          <w:pPr>
            <w:pStyle w:val="Obsah1"/>
            <w:tabs>
              <w:tab w:val="right" w:leader="dot" w:pos="9062"/>
            </w:tabs>
          </w:pPr>
          <w:r>
            <w:rPr>
              <w:b/>
              <w:bCs/>
            </w:rPr>
            <w:fldChar w:fldCharType="end"/>
          </w:r>
        </w:p>
      </w:sdtContent>
    </w:sdt>
    <w:p w14:paraId="7FA31F22" w14:textId="77777777" w:rsidR="00E83EDC" w:rsidRPr="003A5AA8" w:rsidRDefault="00E83EDC" w:rsidP="00E83EDC">
      <w:pPr>
        <w:pStyle w:val="Nadpis1"/>
      </w:pPr>
      <w:bookmarkStart w:id="1" w:name="_Toc477323750"/>
      <w:r w:rsidRPr="003A5AA8">
        <w:lastRenderedPageBreak/>
        <w:t>Identifikace problému</w:t>
      </w:r>
      <w:bookmarkEnd w:id="1"/>
    </w:p>
    <w:p w14:paraId="2FEE46BA" w14:textId="77777777" w:rsidR="00E83EDC" w:rsidRPr="003A5AA8" w:rsidRDefault="00E83EDC" w:rsidP="00E83EDC">
      <w:pPr>
        <w:pStyle w:val="odpoved"/>
        <w:spacing w:after="0"/>
        <w:ind w:left="0"/>
        <w:contextualSpacing w:val="0"/>
        <w:rPr>
          <w:rFonts w:asciiTheme="minorHAnsi" w:hAnsiTheme="minorHAnsi"/>
          <w:i w:val="0"/>
          <w:color w:val="auto"/>
        </w:rPr>
      </w:pPr>
    </w:p>
    <w:p w14:paraId="00A8561F" w14:textId="50849C3E" w:rsidR="00CA098E" w:rsidRDefault="00CA098E" w:rsidP="00CA098E">
      <w:pPr>
        <w:pStyle w:val="odpoved"/>
        <w:spacing w:after="0"/>
        <w:ind w:left="0"/>
        <w:contextualSpacing w:val="0"/>
        <w:rPr>
          <w:rFonts w:asciiTheme="minorHAnsi" w:hAnsiTheme="minorHAnsi"/>
          <w:i w:val="0"/>
          <w:color w:val="auto"/>
        </w:rPr>
      </w:pPr>
      <w:r w:rsidRPr="003A5AA8">
        <w:rPr>
          <w:rFonts w:asciiTheme="minorHAnsi" w:hAnsiTheme="minorHAnsi"/>
          <w:i w:val="0"/>
          <w:color w:val="auto"/>
        </w:rPr>
        <w:t>Nutnost rezervace přepravní kapacity do a</w:t>
      </w:r>
      <w:r>
        <w:rPr>
          <w:rFonts w:asciiTheme="minorHAnsi" w:hAnsiTheme="minorHAnsi"/>
          <w:i w:val="0"/>
          <w:color w:val="auto"/>
        </w:rPr>
        <w:t xml:space="preserve"> z virtuálního zásobníku plynu </w:t>
      </w:r>
      <w:r w:rsidRPr="003A5AA8">
        <w:rPr>
          <w:rFonts w:asciiTheme="minorHAnsi" w:hAnsiTheme="minorHAnsi"/>
          <w:i w:val="0"/>
          <w:color w:val="auto"/>
        </w:rPr>
        <w:t xml:space="preserve">zvyšuje procesní složitost při využívání podzemních zásobníků a vytváří dodatečné náklady spojené s jejich používáním. Vzhledem k tomu, že objem českých zásobníků plynu slouží z významné části k zajištění bezpečných dodávek pro zákazníky v České republice (a vyhláška o stavech nouze s tím takto i pracuje), významným úkolem </w:t>
      </w:r>
      <w:r w:rsidR="00F21E67">
        <w:rPr>
          <w:rFonts w:asciiTheme="minorHAnsi" w:hAnsiTheme="minorHAnsi"/>
          <w:i w:val="0"/>
          <w:color w:val="auto"/>
        </w:rPr>
        <w:t>státu</w:t>
      </w:r>
      <w:r w:rsidRPr="003A5AA8">
        <w:rPr>
          <w:rFonts w:asciiTheme="minorHAnsi" w:hAnsiTheme="minorHAnsi"/>
          <w:i w:val="0"/>
          <w:color w:val="auto"/>
        </w:rPr>
        <w:t xml:space="preserve"> by tak měla být tvorba podmínek pro to, aby v České republice zásobníky plynu byly nadále provozovány a nedošlo z důvodu jejich neatraktivnosti k ukončení jejich provozu. V současné době cena skladovací kapacity odráží již dnes velmi malé </w:t>
      </w:r>
      <w:proofErr w:type="spellStart"/>
      <w:r w:rsidRPr="003A5AA8">
        <w:rPr>
          <w:rFonts w:asciiTheme="minorHAnsi" w:hAnsiTheme="minorHAnsi"/>
          <w:i w:val="0"/>
          <w:color w:val="auto"/>
        </w:rPr>
        <w:t>spready</w:t>
      </w:r>
      <w:proofErr w:type="spellEnd"/>
      <w:r w:rsidRPr="003A5AA8">
        <w:rPr>
          <w:rFonts w:asciiTheme="minorHAnsi" w:hAnsiTheme="minorHAnsi"/>
          <w:i w:val="0"/>
          <w:color w:val="auto"/>
        </w:rPr>
        <w:t xml:space="preserve"> léto – zima na trhu, takže jakákoliv přirážka v podobě přepravního tarifu snižuje atraktivnost skladování a míru jeho aktivního využití jako takového a může být pro provozovatele zásobníků plynu nerentabilní tyto zásobníky plynu provozovat (již dnes dochází jinde v Evropě k uzavírání zásobníků plynu, např. </w:t>
      </w:r>
      <w:proofErr w:type="spellStart"/>
      <w:r w:rsidRPr="003A5AA8">
        <w:rPr>
          <w:rFonts w:asciiTheme="minorHAnsi" w:hAnsiTheme="minorHAnsi"/>
          <w:i w:val="0"/>
          <w:color w:val="auto"/>
        </w:rPr>
        <w:t>Storengy</w:t>
      </w:r>
      <w:proofErr w:type="spellEnd"/>
      <w:r w:rsidRPr="003A5AA8">
        <w:rPr>
          <w:rFonts w:asciiTheme="minorHAnsi" w:hAnsiTheme="minorHAnsi"/>
          <w:i w:val="0"/>
          <w:color w:val="auto"/>
        </w:rPr>
        <w:t xml:space="preserve"> ve Francii uzavřela tři zásobníky </w:t>
      </w:r>
      <w:proofErr w:type="spellStart"/>
      <w:r w:rsidRPr="003A5AA8">
        <w:rPr>
          <w:rFonts w:asciiTheme="minorHAnsi" w:hAnsiTheme="minorHAnsi"/>
          <w:i w:val="0"/>
          <w:color w:val="auto"/>
        </w:rPr>
        <w:t>Trois-Fontaines</w:t>
      </w:r>
      <w:proofErr w:type="spellEnd"/>
      <w:r w:rsidRPr="003A5AA8">
        <w:rPr>
          <w:rFonts w:asciiTheme="minorHAnsi" w:hAnsiTheme="minorHAnsi"/>
          <w:i w:val="0"/>
          <w:color w:val="auto"/>
        </w:rPr>
        <w:t xml:space="preserve"> a </w:t>
      </w:r>
      <w:proofErr w:type="spellStart"/>
      <w:r w:rsidRPr="003A5AA8">
        <w:rPr>
          <w:rFonts w:asciiTheme="minorHAnsi" w:hAnsiTheme="minorHAnsi"/>
          <w:i w:val="0"/>
          <w:color w:val="auto"/>
        </w:rPr>
        <w:t>Soings</w:t>
      </w:r>
      <w:proofErr w:type="spellEnd"/>
      <w:r w:rsidRPr="003A5AA8">
        <w:rPr>
          <w:rFonts w:asciiTheme="minorHAnsi" w:hAnsiTheme="minorHAnsi"/>
          <w:i w:val="0"/>
          <w:color w:val="auto"/>
        </w:rPr>
        <w:t>-en-</w:t>
      </w:r>
      <w:proofErr w:type="spellStart"/>
      <w:r w:rsidRPr="003A5AA8">
        <w:rPr>
          <w:rFonts w:asciiTheme="minorHAnsi" w:hAnsiTheme="minorHAnsi"/>
          <w:i w:val="0"/>
          <w:color w:val="auto"/>
        </w:rPr>
        <w:t>Sologne</w:t>
      </w:r>
      <w:proofErr w:type="spellEnd"/>
      <w:r w:rsidRPr="003A5AA8">
        <w:rPr>
          <w:rFonts w:asciiTheme="minorHAnsi" w:hAnsiTheme="minorHAnsi"/>
          <w:i w:val="0"/>
          <w:color w:val="auto"/>
        </w:rPr>
        <w:t xml:space="preserve"> v roce 2012, St-</w:t>
      </w:r>
      <w:proofErr w:type="spellStart"/>
      <w:r w:rsidRPr="003A5AA8">
        <w:rPr>
          <w:rFonts w:asciiTheme="minorHAnsi" w:hAnsiTheme="minorHAnsi"/>
          <w:i w:val="0"/>
          <w:color w:val="auto"/>
        </w:rPr>
        <w:t>Clair</w:t>
      </w:r>
      <w:proofErr w:type="spellEnd"/>
      <w:r w:rsidRPr="003A5AA8">
        <w:rPr>
          <w:rFonts w:asciiTheme="minorHAnsi" w:hAnsiTheme="minorHAnsi"/>
          <w:i w:val="0"/>
          <w:color w:val="auto"/>
        </w:rPr>
        <w:t>-</w:t>
      </w:r>
      <w:proofErr w:type="spellStart"/>
      <w:r w:rsidRPr="003A5AA8">
        <w:rPr>
          <w:rFonts w:asciiTheme="minorHAnsi" w:hAnsiTheme="minorHAnsi"/>
          <w:i w:val="0"/>
          <w:color w:val="auto"/>
        </w:rPr>
        <w:t>sur-Epte</w:t>
      </w:r>
      <w:proofErr w:type="spellEnd"/>
      <w:r w:rsidRPr="003A5AA8">
        <w:rPr>
          <w:rFonts w:asciiTheme="minorHAnsi" w:hAnsiTheme="minorHAnsi"/>
          <w:i w:val="0"/>
          <w:color w:val="auto"/>
        </w:rPr>
        <w:t xml:space="preserve"> v roce 2014 a VNG Gas Storage zamýšlí uzavřít UGS </w:t>
      </w:r>
      <w:proofErr w:type="spellStart"/>
      <w:r w:rsidRPr="003A5AA8">
        <w:rPr>
          <w:rFonts w:asciiTheme="minorHAnsi" w:hAnsiTheme="minorHAnsi"/>
          <w:i w:val="0"/>
          <w:color w:val="auto"/>
        </w:rPr>
        <w:t>Buchholz</w:t>
      </w:r>
      <w:proofErr w:type="spellEnd"/>
      <w:r w:rsidRPr="003A5AA8">
        <w:rPr>
          <w:rFonts w:asciiTheme="minorHAnsi" w:hAnsiTheme="minorHAnsi"/>
          <w:i w:val="0"/>
          <w:color w:val="auto"/>
        </w:rPr>
        <w:t xml:space="preserve"> v sezóně 2016-2017).</w:t>
      </w:r>
    </w:p>
    <w:p w14:paraId="4119BB87" w14:textId="77777777" w:rsidR="00CA098E" w:rsidRDefault="00CA098E" w:rsidP="00CA098E">
      <w:pPr>
        <w:pStyle w:val="odpoved"/>
        <w:spacing w:after="0"/>
        <w:ind w:left="0"/>
        <w:contextualSpacing w:val="0"/>
        <w:rPr>
          <w:rFonts w:asciiTheme="minorHAnsi" w:hAnsiTheme="minorHAnsi"/>
          <w:i w:val="0"/>
          <w:color w:val="auto"/>
        </w:rPr>
      </w:pPr>
    </w:p>
    <w:p w14:paraId="011D1EE4" w14:textId="6A45FC2C" w:rsidR="00CA098E" w:rsidRPr="00E83EDC" w:rsidRDefault="00CA098E" w:rsidP="00CA098E">
      <w:pPr>
        <w:keepNext/>
        <w:spacing w:after="60"/>
        <w:rPr>
          <w:rFonts w:asciiTheme="minorHAnsi" w:hAnsiTheme="minorHAnsi"/>
          <w:i/>
        </w:rPr>
      </w:pPr>
      <w:r w:rsidRPr="00E83EDC">
        <w:rPr>
          <w:rFonts w:asciiTheme="minorHAnsi" w:hAnsiTheme="minorHAnsi"/>
          <w:i/>
        </w:rPr>
        <w:t>Tabulka průměrné výsledné ceny v aukci RWE</w:t>
      </w:r>
      <w:r>
        <w:rPr>
          <w:rFonts w:asciiTheme="minorHAnsi" w:hAnsiTheme="minorHAnsi"/>
          <w:i/>
        </w:rPr>
        <w:t>/</w:t>
      </w:r>
      <w:proofErr w:type="spellStart"/>
      <w:r>
        <w:rPr>
          <w:rFonts w:asciiTheme="minorHAnsi" w:hAnsiTheme="minorHAnsi"/>
          <w:i/>
        </w:rPr>
        <w:t>innogy</w:t>
      </w:r>
      <w:proofErr w:type="spellEnd"/>
      <w:r w:rsidRPr="00E83EDC">
        <w:rPr>
          <w:rFonts w:asciiTheme="minorHAnsi" w:hAnsiTheme="minorHAnsi"/>
          <w:i/>
        </w:rPr>
        <w:t xml:space="preserve"> na uvedený skladovací rok přepočtená na roční produkt (</w:t>
      </w:r>
      <w:proofErr w:type="spellStart"/>
      <w:r w:rsidRPr="00E83EDC">
        <w:rPr>
          <w:rFonts w:asciiTheme="minorHAnsi" w:hAnsiTheme="minorHAnsi"/>
          <w:i/>
        </w:rPr>
        <w:t>bundle</w:t>
      </w:r>
      <w:proofErr w:type="spellEnd"/>
      <w:r w:rsidRPr="00E83EDC">
        <w:rPr>
          <w:rFonts w:asciiTheme="minorHAnsi" w:hAnsiTheme="minorHAnsi"/>
          <w:i/>
        </w:rPr>
        <w:t>: objem + těžební + vtláčecí výkon) v Kč/MWh</w:t>
      </w:r>
    </w:p>
    <w:p w14:paraId="5536AEA6" w14:textId="77777777" w:rsidR="00CA098E" w:rsidRPr="003A5AA8" w:rsidRDefault="00CA098E" w:rsidP="00CA098E">
      <w:pPr>
        <w:pStyle w:val="odpoved"/>
        <w:spacing w:after="0"/>
        <w:ind w:left="0"/>
        <w:contextualSpacing w:val="0"/>
        <w:rPr>
          <w:rFonts w:asciiTheme="minorHAnsi" w:hAnsiTheme="minorHAnsi"/>
          <w:i w:val="0"/>
          <w:color w:val="auto"/>
        </w:rPr>
      </w:pPr>
      <w:r w:rsidRPr="003A5AA8">
        <w:rPr>
          <w:rFonts w:asciiTheme="minorHAnsi" w:hAnsiTheme="minorHAnsi"/>
          <w:i w:val="0"/>
          <w:noProof/>
          <w:color w:val="auto"/>
          <w:lang w:eastAsia="cs-CZ"/>
        </w:rPr>
        <w:drawing>
          <wp:inline distT="0" distB="0" distL="0" distR="0" wp14:anchorId="2DD6FB63" wp14:editId="2B76C52E">
            <wp:extent cx="3240634" cy="1948760"/>
            <wp:effectExtent l="0" t="0" r="0" b="0"/>
            <wp:docPr id="5" name="Obrázek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3261254" cy="1961160"/>
                    </a:xfrm>
                    <a:prstGeom prst="rect">
                      <a:avLst/>
                    </a:prstGeom>
                  </pic:spPr>
                </pic:pic>
              </a:graphicData>
            </a:graphic>
          </wp:inline>
        </w:drawing>
      </w:r>
    </w:p>
    <w:p w14:paraId="133C0875" w14:textId="77777777" w:rsidR="00CA098E" w:rsidRDefault="00CA098E" w:rsidP="00CA098E">
      <w:pPr>
        <w:pStyle w:val="odpoved"/>
        <w:spacing w:after="0"/>
        <w:ind w:left="0"/>
        <w:contextualSpacing w:val="0"/>
        <w:rPr>
          <w:rFonts w:asciiTheme="minorHAnsi" w:hAnsiTheme="minorHAnsi"/>
          <w:i w:val="0"/>
          <w:color w:val="auto"/>
        </w:rPr>
      </w:pPr>
    </w:p>
    <w:p w14:paraId="54FC8F05" w14:textId="77777777" w:rsidR="00CA098E" w:rsidRPr="003A5AA8" w:rsidRDefault="00CA098E" w:rsidP="00CA098E">
      <w:pPr>
        <w:pStyle w:val="odpoved"/>
        <w:spacing w:after="0"/>
        <w:ind w:left="0"/>
        <w:contextualSpacing w:val="0"/>
        <w:rPr>
          <w:rFonts w:asciiTheme="minorHAnsi" w:hAnsiTheme="minorHAnsi"/>
          <w:i w:val="0"/>
          <w:color w:val="auto"/>
        </w:rPr>
      </w:pPr>
    </w:p>
    <w:p w14:paraId="631C0C49" w14:textId="77777777" w:rsidR="00E83EDC" w:rsidRPr="003A5AA8" w:rsidRDefault="00E83EDC" w:rsidP="00E83EDC">
      <w:pPr>
        <w:pStyle w:val="odpoved"/>
        <w:spacing w:after="0"/>
        <w:ind w:left="0"/>
        <w:contextualSpacing w:val="0"/>
        <w:rPr>
          <w:rFonts w:asciiTheme="minorHAnsi" w:hAnsiTheme="minorHAnsi"/>
          <w:i w:val="0"/>
          <w:color w:val="auto"/>
        </w:rPr>
      </w:pPr>
      <w:r w:rsidRPr="003A5AA8">
        <w:rPr>
          <w:rFonts w:asciiTheme="minorHAnsi" w:hAnsiTheme="minorHAnsi"/>
          <w:i w:val="0"/>
          <w:color w:val="auto"/>
        </w:rPr>
        <w:t>Stávající nastavení trhu se vyznačuje následujícími problémy a riziky spojenými s využíváním virtuálních zásobníků:</w:t>
      </w:r>
    </w:p>
    <w:p w14:paraId="461027A2" w14:textId="77777777" w:rsidR="00E83EDC" w:rsidRPr="003A5AA8" w:rsidRDefault="00E83EDC" w:rsidP="00E83EDC">
      <w:pPr>
        <w:pStyle w:val="odpoved"/>
        <w:numPr>
          <w:ilvl w:val="0"/>
          <w:numId w:val="13"/>
        </w:numPr>
        <w:spacing w:after="0"/>
        <w:contextualSpacing w:val="0"/>
        <w:rPr>
          <w:rFonts w:asciiTheme="minorHAnsi" w:hAnsiTheme="minorHAnsi"/>
          <w:i w:val="0"/>
          <w:color w:val="auto"/>
        </w:rPr>
      </w:pPr>
      <w:r w:rsidRPr="003A5AA8">
        <w:rPr>
          <w:rFonts w:asciiTheme="minorHAnsi" w:hAnsiTheme="minorHAnsi"/>
          <w:i w:val="0"/>
          <w:color w:val="auto"/>
        </w:rPr>
        <w:t>pokles atraktivity skladování a jeho nižší atraktivita vůči zahraničním zdrojům flexibility snižují zájem o podzemní zásobníky jako zdroje flexibility a promítají se do cen aukcí skladovacích kapacit v ČR, každé dodatečné nepřímé náklady mají při nízkých jednotkových cenách vyšší proporcionální dopad;</w:t>
      </w:r>
    </w:p>
    <w:p w14:paraId="74CD46E4" w14:textId="77777777" w:rsidR="00E83EDC" w:rsidRPr="003A5AA8" w:rsidRDefault="00E83EDC" w:rsidP="00E83EDC">
      <w:pPr>
        <w:pStyle w:val="odpoved"/>
        <w:numPr>
          <w:ilvl w:val="0"/>
          <w:numId w:val="13"/>
        </w:numPr>
        <w:spacing w:after="0"/>
        <w:contextualSpacing w:val="0"/>
        <w:rPr>
          <w:rFonts w:asciiTheme="minorHAnsi" w:hAnsiTheme="minorHAnsi"/>
          <w:i w:val="0"/>
          <w:color w:val="auto"/>
        </w:rPr>
      </w:pPr>
      <w:r w:rsidRPr="003A5AA8">
        <w:rPr>
          <w:rFonts w:asciiTheme="minorHAnsi" w:hAnsiTheme="minorHAnsi"/>
          <w:i w:val="0"/>
          <w:color w:val="auto"/>
        </w:rPr>
        <w:t>stávající obchodní model odděleného virtuálního obchodního bodu a bodů virtuálních zásobníků s nutností rezervace přepravní kapacity z/do zásobníků omezuje procesně a obchodně flexibilitu a likviditu obchodování na VOB a tím i posílení role VOB jako virtuálního obchodního bodu v regionu;</w:t>
      </w:r>
    </w:p>
    <w:p w14:paraId="02259F41" w14:textId="77777777" w:rsidR="00E83EDC" w:rsidRPr="003A5AA8" w:rsidRDefault="00E83EDC" w:rsidP="00E83EDC">
      <w:pPr>
        <w:pStyle w:val="odpoved"/>
        <w:numPr>
          <w:ilvl w:val="0"/>
          <w:numId w:val="13"/>
        </w:numPr>
        <w:spacing w:after="0"/>
        <w:contextualSpacing w:val="0"/>
        <w:rPr>
          <w:rFonts w:asciiTheme="minorHAnsi" w:hAnsiTheme="minorHAnsi"/>
          <w:i w:val="0"/>
          <w:color w:val="auto"/>
        </w:rPr>
      </w:pPr>
      <w:r w:rsidRPr="003A5AA8">
        <w:rPr>
          <w:rFonts w:asciiTheme="minorHAnsi" w:hAnsiTheme="minorHAnsi"/>
          <w:i w:val="0"/>
          <w:color w:val="auto"/>
        </w:rPr>
        <w:t>malé aktivní využívání skladovacích kapacit omezuje obchodní likviditu na trhu se zemním plynem v ČR z důvodů existence dodatečných nákladů při využívání zásobníků pro krátkodobé obchodních příležitostí (jako častější užívání zásobníků pro vyrovnávání denních a vnitrodenních cenových výkyvů), a tedy ke snížení nákladů obchodování (</w:t>
      </w:r>
      <w:proofErr w:type="spellStart"/>
      <w:r w:rsidRPr="003A5AA8">
        <w:rPr>
          <w:rFonts w:asciiTheme="minorHAnsi" w:hAnsiTheme="minorHAnsi"/>
          <w:i w:val="0"/>
          <w:color w:val="auto"/>
        </w:rPr>
        <w:t>bid-offer</w:t>
      </w:r>
      <w:proofErr w:type="spellEnd"/>
      <w:r w:rsidRPr="003A5AA8">
        <w:rPr>
          <w:rFonts w:asciiTheme="minorHAnsi" w:hAnsiTheme="minorHAnsi"/>
          <w:i w:val="0"/>
          <w:color w:val="auto"/>
        </w:rPr>
        <w:t xml:space="preserve"> </w:t>
      </w:r>
      <w:proofErr w:type="spellStart"/>
      <w:r w:rsidRPr="003A5AA8">
        <w:rPr>
          <w:rFonts w:asciiTheme="minorHAnsi" w:hAnsiTheme="minorHAnsi"/>
          <w:i w:val="0"/>
          <w:color w:val="auto"/>
        </w:rPr>
        <w:t>spread</w:t>
      </w:r>
      <w:proofErr w:type="spellEnd"/>
      <w:r w:rsidRPr="003A5AA8">
        <w:rPr>
          <w:rFonts w:asciiTheme="minorHAnsi" w:hAnsiTheme="minorHAnsi"/>
          <w:i w:val="0"/>
          <w:color w:val="auto"/>
        </w:rPr>
        <w:t>) na virtuálním obchodním bodě;</w:t>
      </w:r>
    </w:p>
    <w:p w14:paraId="785B2EFE" w14:textId="77777777" w:rsidR="00E83EDC" w:rsidRPr="003A5AA8" w:rsidRDefault="00E83EDC" w:rsidP="00E83EDC">
      <w:pPr>
        <w:pStyle w:val="odpoved"/>
        <w:numPr>
          <w:ilvl w:val="0"/>
          <w:numId w:val="13"/>
        </w:numPr>
        <w:spacing w:after="0"/>
        <w:contextualSpacing w:val="0"/>
        <w:rPr>
          <w:rFonts w:asciiTheme="minorHAnsi" w:hAnsiTheme="minorHAnsi"/>
          <w:i w:val="0"/>
          <w:color w:val="auto"/>
        </w:rPr>
      </w:pPr>
      <w:r w:rsidRPr="003A5AA8">
        <w:rPr>
          <w:rFonts w:asciiTheme="minorHAnsi" w:hAnsiTheme="minorHAnsi"/>
          <w:i w:val="0"/>
          <w:color w:val="auto"/>
        </w:rPr>
        <w:lastRenderedPageBreak/>
        <w:t>nízká poptávka po skladování zemního plynu v ČR vede také ke snížení bezpečnosti dodávek v ČR a zejména v delším časovém období by mohla zvýšit pravděpodobnost nezajištění návratnosti investic do podzemních zásobníků a způsobit jejich uzavírání z důvodu dlouhodobé nerentability;</w:t>
      </w:r>
    </w:p>
    <w:p w14:paraId="5D26B0D3" w14:textId="77777777" w:rsidR="00E83EDC" w:rsidRDefault="00E83EDC" w:rsidP="00E83EDC">
      <w:pPr>
        <w:pStyle w:val="odpoved"/>
        <w:numPr>
          <w:ilvl w:val="0"/>
          <w:numId w:val="13"/>
        </w:numPr>
        <w:spacing w:after="0"/>
        <w:contextualSpacing w:val="0"/>
        <w:rPr>
          <w:rFonts w:asciiTheme="minorHAnsi" w:hAnsiTheme="minorHAnsi"/>
          <w:i w:val="0"/>
          <w:color w:val="auto"/>
        </w:rPr>
      </w:pPr>
      <w:r w:rsidRPr="003A5AA8">
        <w:rPr>
          <w:rFonts w:asciiTheme="minorHAnsi" w:hAnsiTheme="minorHAnsi"/>
          <w:i w:val="0"/>
          <w:color w:val="auto"/>
        </w:rPr>
        <w:t>případné uzavírání podzemních zásobníků by do budoucna mohlo zhoršit možnosti obchodníků se zemním plynem plnit legislativní podmínku zajistit BSD minimálně z </w:t>
      </w:r>
      <w:proofErr w:type="gramStart"/>
      <w:r w:rsidRPr="003A5AA8">
        <w:rPr>
          <w:rFonts w:asciiTheme="minorHAnsi" w:hAnsiTheme="minorHAnsi"/>
          <w:i w:val="0"/>
          <w:color w:val="auto"/>
        </w:rPr>
        <w:t>30-ti</w:t>
      </w:r>
      <w:proofErr w:type="gramEnd"/>
      <w:r w:rsidRPr="003A5AA8">
        <w:rPr>
          <w:rFonts w:asciiTheme="minorHAnsi" w:hAnsiTheme="minorHAnsi"/>
          <w:i w:val="0"/>
          <w:color w:val="auto"/>
        </w:rPr>
        <w:t xml:space="preserve"> procent z podzemních zásobníků.</w:t>
      </w:r>
    </w:p>
    <w:p w14:paraId="6FCEDD1F" w14:textId="39969F7A" w:rsidR="00A71B03" w:rsidRPr="003A5AA8" w:rsidRDefault="00E83EDC" w:rsidP="00E83EDC">
      <w:pPr>
        <w:pStyle w:val="Nadpis1"/>
      </w:pPr>
      <w:bookmarkStart w:id="2" w:name="_Toc477323751"/>
      <w:r>
        <w:t>Popis navrhovaného řešení</w:t>
      </w:r>
      <w:bookmarkEnd w:id="2"/>
    </w:p>
    <w:p w14:paraId="6ED4FEAA" w14:textId="77777777" w:rsidR="00A76FA4" w:rsidRPr="003A5AA8" w:rsidRDefault="00A76FA4" w:rsidP="00F87ABC">
      <w:pPr>
        <w:pStyle w:val="odpoved"/>
        <w:spacing w:after="0"/>
        <w:ind w:left="0"/>
        <w:contextualSpacing w:val="0"/>
        <w:rPr>
          <w:rFonts w:asciiTheme="minorHAnsi" w:hAnsiTheme="minorHAnsi"/>
          <w:i w:val="0"/>
          <w:color w:val="auto"/>
        </w:rPr>
      </w:pPr>
      <w:r w:rsidRPr="003A5AA8">
        <w:rPr>
          <w:rFonts w:asciiTheme="minorHAnsi" w:hAnsiTheme="minorHAnsi"/>
          <w:i w:val="0"/>
          <w:color w:val="auto"/>
        </w:rPr>
        <w:t>Přepravní kapacita pro body virtuálních zásobníků plynu se nerezervuje, pro skladování plynu v zásobníku ČR postačí pouze rezervace skladovací kapacity u příslušného provozovatele zásobníku</w:t>
      </w:r>
      <w:r w:rsidR="006A2641" w:rsidRPr="003A5AA8">
        <w:rPr>
          <w:rFonts w:asciiTheme="minorHAnsi" w:hAnsiTheme="minorHAnsi"/>
          <w:i w:val="0"/>
          <w:color w:val="auto"/>
        </w:rPr>
        <w:t xml:space="preserve"> plynu</w:t>
      </w:r>
      <w:r w:rsidRPr="003A5AA8">
        <w:rPr>
          <w:rFonts w:asciiTheme="minorHAnsi" w:hAnsiTheme="minorHAnsi"/>
          <w:i w:val="0"/>
          <w:color w:val="auto"/>
        </w:rPr>
        <w:t>. ERÚ tedy nebude stanovovat cenu za přepravu pro zásobníky plynu.</w:t>
      </w:r>
    </w:p>
    <w:p w14:paraId="7C3AACDA" w14:textId="77777777" w:rsidR="00A76FA4" w:rsidRPr="003A5AA8" w:rsidRDefault="00A76FA4" w:rsidP="00F87ABC">
      <w:pPr>
        <w:pStyle w:val="odpoved"/>
        <w:spacing w:after="0"/>
        <w:ind w:left="0"/>
        <w:contextualSpacing w:val="0"/>
        <w:rPr>
          <w:rFonts w:asciiTheme="minorHAnsi" w:hAnsiTheme="minorHAnsi"/>
          <w:i w:val="0"/>
          <w:color w:val="auto"/>
        </w:rPr>
      </w:pPr>
      <w:r w:rsidRPr="003A5AA8">
        <w:rPr>
          <w:rFonts w:asciiTheme="minorHAnsi" w:hAnsiTheme="minorHAnsi"/>
          <w:i w:val="0"/>
          <w:color w:val="auto"/>
        </w:rPr>
        <w:t xml:space="preserve">Bod virtuálního zásobníku plynu „splyne“ s virtuálním obchodním bodem. </w:t>
      </w:r>
      <w:r w:rsidR="006A2641" w:rsidRPr="003A5AA8">
        <w:rPr>
          <w:rFonts w:asciiTheme="minorHAnsi" w:hAnsiTheme="minorHAnsi"/>
          <w:i w:val="0"/>
          <w:color w:val="auto"/>
        </w:rPr>
        <w:t>Obchodník/s</w:t>
      </w:r>
      <w:r w:rsidRPr="003A5AA8">
        <w:rPr>
          <w:rFonts w:asciiTheme="minorHAnsi" w:hAnsiTheme="minorHAnsi"/>
          <w:i w:val="0"/>
          <w:color w:val="auto"/>
        </w:rPr>
        <w:t>ubjekt zúčtování, který vstoupí s plynem do České republiky nebo obchoduje na virtuálním obchodním bodě, bude mít tedy přímý přístup do a ze zásobníku plynu bez nutnosti rezervace přepravní kapacity a tedy nutnosti administrace další smlouvy u provozovatele přepravní soustavy (zároveň nebude muset mít další finanční zajištění u provozovatele přepravní soustavy)</w:t>
      </w:r>
    </w:p>
    <w:p w14:paraId="72062A18" w14:textId="07202483" w:rsidR="00A76FA4" w:rsidRPr="003A5AA8" w:rsidRDefault="00A76FA4" w:rsidP="00F87ABC">
      <w:pPr>
        <w:pStyle w:val="odpoved"/>
        <w:spacing w:after="0"/>
        <w:ind w:left="0"/>
        <w:contextualSpacing w:val="0"/>
        <w:rPr>
          <w:rFonts w:asciiTheme="minorHAnsi" w:hAnsiTheme="minorHAnsi"/>
          <w:i w:val="0"/>
          <w:color w:val="auto"/>
        </w:rPr>
      </w:pPr>
      <w:r w:rsidRPr="003A5AA8">
        <w:rPr>
          <w:rFonts w:asciiTheme="minorHAnsi" w:hAnsiTheme="minorHAnsi"/>
          <w:i w:val="0"/>
          <w:color w:val="auto"/>
        </w:rPr>
        <w:t>Na body zásobníků plynu se bude nahlížet jako na součást celé přepravní soustavy a tedy podobně jako na virtuální obchodní bod, prakticky by se tedy virtuální body zásobníků plynu virtuálně nacházely na VOB</w:t>
      </w:r>
      <w:r w:rsidR="006A2641" w:rsidRPr="003A5AA8">
        <w:rPr>
          <w:rFonts w:asciiTheme="minorHAnsi" w:hAnsiTheme="minorHAnsi"/>
          <w:i w:val="0"/>
          <w:color w:val="auto"/>
        </w:rPr>
        <w:t>. Výstup ze zásobníku plynu bude vždy na virtuální obchodní bod.</w:t>
      </w:r>
    </w:p>
    <w:p w14:paraId="7189C125" w14:textId="77777777" w:rsidR="00A76FA4" w:rsidRPr="003A5AA8" w:rsidRDefault="00A76FA4" w:rsidP="00F87ABC">
      <w:pPr>
        <w:pStyle w:val="odpoved"/>
        <w:spacing w:after="0"/>
        <w:ind w:left="0"/>
        <w:contextualSpacing w:val="0"/>
        <w:rPr>
          <w:rFonts w:asciiTheme="minorHAnsi" w:hAnsiTheme="minorHAnsi"/>
          <w:i w:val="0"/>
          <w:color w:val="auto"/>
        </w:rPr>
      </w:pPr>
      <w:r w:rsidRPr="003A5AA8">
        <w:rPr>
          <w:rFonts w:asciiTheme="minorHAnsi" w:hAnsiTheme="minorHAnsi"/>
          <w:i w:val="0"/>
          <w:color w:val="auto"/>
        </w:rPr>
        <w:t>Subjekty zúčtování budou podávat místo nominací uskladňování speciální typy nominací závazku těžit a závazku vtláčet, u kterých protistranou bude vždy příslušné SSO</w:t>
      </w:r>
    </w:p>
    <w:p w14:paraId="4CC38DF8" w14:textId="0FD08258" w:rsidR="00A76FA4" w:rsidRPr="003A5AA8" w:rsidRDefault="00A76FA4" w:rsidP="00F87ABC">
      <w:pPr>
        <w:pStyle w:val="odpoved"/>
        <w:spacing w:after="0"/>
        <w:ind w:left="0"/>
        <w:contextualSpacing w:val="0"/>
        <w:rPr>
          <w:rFonts w:asciiTheme="minorHAnsi" w:hAnsiTheme="minorHAnsi"/>
          <w:i w:val="0"/>
          <w:color w:val="auto"/>
        </w:rPr>
      </w:pPr>
      <w:r w:rsidRPr="003A5AA8">
        <w:rPr>
          <w:rFonts w:asciiTheme="minorHAnsi" w:hAnsiTheme="minorHAnsi"/>
          <w:i w:val="0"/>
          <w:color w:val="auto"/>
        </w:rPr>
        <w:t xml:space="preserve">Z hlediska finančního zajištění u OTE bude dopad </w:t>
      </w:r>
      <w:r w:rsidR="006A2641" w:rsidRPr="003A5AA8">
        <w:rPr>
          <w:rFonts w:asciiTheme="minorHAnsi" w:hAnsiTheme="minorHAnsi"/>
          <w:i w:val="0"/>
          <w:color w:val="auto"/>
        </w:rPr>
        <w:t xml:space="preserve">pro obchodníky </w:t>
      </w:r>
      <w:r w:rsidRPr="003A5AA8">
        <w:rPr>
          <w:rFonts w:asciiTheme="minorHAnsi" w:hAnsiTheme="minorHAnsi"/>
          <w:i w:val="0"/>
          <w:color w:val="auto"/>
        </w:rPr>
        <w:t>neutrální. Výše rizikové expozice se nezmění, dojde však k úpravě vzorce pro její výpočet podle nominací závazku těžit a vtláčet místo nom</w:t>
      </w:r>
      <w:r w:rsidR="00952AC7" w:rsidRPr="003A5AA8">
        <w:rPr>
          <w:rFonts w:asciiTheme="minorHAnsi" w:hAnsiTheme="minorHAnsi"/>
          <w:i w:val="0"/>
          <w:color w:val="auto"/>
        </w:rPr>
        <w:t>inací přepravy do a ze zásobníků</w:t>
      </w:r>
    </w:p>
    <w:p w14:paraId="052A41BB" w14:textId="77257294" w:rsidR="00A76FA4" w:rsidRDefault="00A76FA4" w:rsidP="00F87ABC">
      <w:pPr>
        <w:pStyle w:val="odpoved"/>
        <w:spacing w:after="0"/>
        <w:ind w:left="0"/>
        <w:contextualSpacing w:val="0"/>
        <w:rPr>
          <w:rFonts w:asciiTheme="minorHAnsi" w:hAnsiTheme="minorHAnsi"/>
          <w:i w:val="0"/>
          <w:color w:val="auto"/>
        </w:rPr>
      </w:pPr>
      <w:r w:rsidRPr="003A5AA8">
        <w:rPr>
          <w:rFonts w:asciiTheme="minorHAnsi" w:hAnsiTheme="minorHAnsi"/>
          <w:i w:val="0"/>
          <w:color w:val="auto"/>
        </w:rPr>
        <w:t>Odpadne nutnost sesouhlasit nominaci přepravy a uskladňování. Bude nadále důležitá spolupráce provozovatele přepravní soustavy a zásobníku plynu, aby nominované hodnoty byly skutečně vtlačeny nebo vytěženy ze zásobníku.</w:t>
      </w:r>
      <w:r w:rsidR="00437852" w:rsidRPr="003A5AA8">
        <w:rPr>
          <w:rFonts w:asciiTheme="minorHAnsi" w:hAnsiTheme="minorHAnsi"/>
          <w:i w:val="0"/>
          <w:color w:val="auto"/>
        </w:rPr>
        <w:t xml:space="preserve"> </w:t>
      </w:r>
    </w:p>
    <w:p w14:paraId="16E02B9F" w14:textId="77777777" w:rsidR="004E6219" w:rsidRDefault="004E6219" w:rsidP="00F87ABC">
      <w:pPr>
        <w:pStyle w:val="odpoved"/>
        <w:spacing w:after="0"/>
        <w:ind w:left="0"/>
        <w:contextualSpacing w:val="0"/>
        <w:rPr>
          <w:rFonts w:asciiTheme="minorHAnsi" w:hAnsiTheme="minorHAnsi"/>
          <w:i w:val="0"/>
          <w:color w:val="auto"/>
        </w:rPr>
      </w:pPr>
    </w:p>
    <w:p w14:paraId="1B4DB106" w14:textId="77777777" w:rsidR="005A4231" w:rsidRDefault="005A4231" w:rsidP="004E6219">
      <w:pPr>
        <w:pStyle w:val="Nadpis1"/>
      </w:pPr>
    </w:p>
    <w:p w14:paraId="31EEA3DA" w14:textId="77777777" w:rsidR="005A4231" w:rsidRDefault="005A4231">
      <w:pPr>
        <w:spacing w:after="160" w:line="259" w:lineRule="auto"/>
        <w:rPr>
          <w:rFonts w:asciiTheme="majorHAnsi" w:eastAsiaTheme="majorEastAsia" w:hAnsiTheme="majorHAnsi" w:cstheme="majorBidi"/>
          <w:color w:val="2E74B5" w:themeColor="accent1" w:themeShade="BF"/>
          <w:sz w:val="32"/>
          <w:szCs w:val="32"/>
        </w:rPr>
      </w:pPr>
      <w:r>
        <w:br w:type="page"/>
      </w:r>
    </w:p>
    <w:p w14:paraId="6EFD5A21" w14:textId="6C5C7483" w:rsidR="004E6219" w:rsidRDefault="004E6219" w:rsidP="004E6219">
      <w:pPr>
        <w:pStyle w:val="Nadpis1"/>
      </w:pPr>
      <w:bookmarkStart w:id="3" w:name="_Toc477323752"/>
      <w:r>
        <w:lastRenderedPageBreak/>
        <w:t>Grafické znázornění současného a navrhovaného modelu trhu s plynem</w:t>
      </w:r>
      <w:bookmarkEnd w:id="3"/>
    </w:p>
    <w:p w14:paraId="0877A192" w14:textId="77777777" w:rsidR="004E6219" w:rsidRPr="0092539A" w:rsidRDefault="004E6219" w:rsidP="004E6219">
      <w:pPr>
        <w:pStyle w:val="otazka"/>
        <w:rPr>
          <w:rFonts w:asciiTheme="minorHAnsi" w:hAnsiTheme="minorHAnsi"/>
        </w:rPr>
      </w:pPr>
      <w:r w:rsidRPr="0092539A">
        <w:rPr>
          <w:rFonts w:asciiTheme="minorHAnsi" w:hAnsiTheme="minorHAnsi"/>
        </w:rPr>
        <w:t xml:space="preserve">Grafické porovnání současného modelu trhu s plynem v ČR založeného na plném </w:t>
      </w:r>
      <w:proofErr w:type="spellStart"/>
      <w:r w:rsidRPr="0092539A">
        <w:rPr>
          <w:rFonts w:asciiTheme="minorHAnsi" w:hAnsiTheme="minorHAnsi"/>
        </w:rPr>
        <w:t>Entry</w:t>
      </w:r>
      <w:proofErr w:type="spellEnd"/>
      <w:r w:rsidRPr="0092539A">
        <w:rPr>
          <w:rFonts w:asciiTheme="minorHAnsi" w:hAnsiTheme="minorHAnsi"/>
        </w:rPr>
        <w:t xml:space="preserve">-Exit systému (obr. 1) a návrhu pokročilé virtualizace (obr. 2) </w:t>
      </w:r>
    </w:p>
    <w:p w14:paraId="707E21FF" w14:textId="77777777" w:rsidR="004E6219" w:rsidRPr="003A5AA8" w:rsidRDefault="004E6219" w:rsidP="004E6219">
      <w:pPr>
        <w:ind w:left="360"/>
        <w:rPr>
          <w:rFonts w:asciiTheme="minorHAnsi" w:hAnsiTheme="minorHAnsi"/>
        </w:rPr>
      </w:pPr>
    </w:p>
    <w:p w14:paraId="31EB2A2D" w14:textId="77777777" w:rsidR="004E6219" w:rsidRPr="003A5AA8" w:rsidRDefault="004E6219" w:rsidP="004E6219">
      <w:pPr>
        <w:pStyle w:val="Odstavecseseznamem"/>
        <w:contextualSpacing w:val="0"/>
        <w:rPr>
          <w:rFonts w:asciiTheme="minorHAnsi" w:hAnsiTheme="minorHAnsi"/>
          <w:i w:val="0"/>
        </w:rPr>
      </w:pPr>
      <w:r w:rsidRPr="003A5AA8">
        <w:rPr>
          <w:rFonts w:asciiTheme="minorHAnsi" w:hAnsiTheme="minorHAnsi"/>
          <w:i w:val="0"/>
          <w:noProof/>
          <w:lang w:eastAsia="cs-CZ"/>
        </w:rPr>
        <w:drawing>
          <wp:inline distT="0" distB="0" distL="0" distR="0" wp14:anchorId="084A747A" wp14:editId="2B632BF0">
            <wp:extent cx="3381375" cy="1752600"/>
            <wp:effectExtent l="0" t="0" r="9525" b="0"/>
            <wp:docPr id="1" name="Picture 1" descr="cid:image003.png@01D22874.92E787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descr="cid:image003.png@01D22874.92E78710"/>
                    <pic:cNvPicPr>
                      <a:picLocks noChangeAspect="1" noChangeArrowheads="1"/>
                    </pic:cNvPicPr>
                  </pic:nvPicPr>
                  <pic:blipFill>
                    <a:blip r:embed="rId10" r:link="rId11">
                      <a:extLst>
                        <a:ext uri="{28A0092B-C50C-407E-A947-70E740481C1C}">
                          <a14:useLocalDpi xmlns:a14="http://schemas.microsoft.com/office/drawing/2010/main" val="0"/>
                        </a:ext>
                      </a:extLst>
                    </a:blip>
                    <a:srcRect/>
                    <a:stretch>
                      <a:fillRect/>
                    </a:stretch>
                  </pic:blipFill>
                  <pic:spPr bwMode="auto">
                    <a:xfrm>
                      <a:off x="0" y="0"/>
                      <a:ext cx="3381375" cy="1752600"/>
                    </a:xfrm>
                    <a:prstGeom prst="rect">
                      <a:avLst/>
                    </a:prstGeom>
                    <a:noFill/>
                    <a:ln>
                      <a:noFill/>
                    </a:ln>
                  </pic:spPr>
                </pic:pic>
              </a:graphicData>
            </a:graphic>
          </wp:inline>
        </w:drawing>
      </w:r>
    </w:p>
    <w:p w14:paraId="25BDC19D" w14:textId="77777777" w:rsidR="004E6219" w:rsidRPr="003A5AA8" w:rsidRDefault="004E6219" w:rsidP="004E6219">
      <w:pPr>
        <w:pStyle w:val="Titulek"/>
        <w:jc w:val="center"/>
        <w:rPr>
          <w:rFonts w:asciiTheme="minorHAnsi" w:hAnsiTheme="minorHAnsi"/>
          <w:b w:val="0"/>
          <w:color w:val="auto"/>
          <w:sz w:val="22"/>
          <w:szCs w:val="22"/>
        </w:rPr>
      </w:pPr>
      <w:r w:rsidRPr="003A5AA8">
        <w:rPr>
          <w:rFonts w:asciiTheme="minorHAnsi" w:hAnsiTheme="minorHAnsi"/>
          <w:b w:val="0"/>
          <w:color w:val="auto"/>
          <w:sz w:val="22"/>
          <w:szCs w:val="22"/>
        </w:rPr>
        <w:t xml:space="preserve">Obrázek 1: stávající </w:t>
      </w:r>
      <w:proofErr w:type="spellStart"/>
      <w:r w:rsidRPr="003A5AA8">
        <w:rPr>
          <w:rFonts w:asciiTheme="minorHAnsi" w:hAnsiTheme="minorHAnsi"/>
          <w:b w:val="0"/>
          <w:color w:val="auto"/>
          <w:sz w:val="22"/>
          <w:szCs w:val="22"/>
        </w:rPr>
        <w:t>Entry</w:t>
      </w:r>
      <w:proofErr w:type="spellEnd"/>
      <w:r w:rsidRPr="003A5AA8">
        <w:rPr>
          <w:rFonts w:asciiTheme="minorHAnsi" w:hAnsiTheme="minorHAnsi"/>
          <w:b w:val="0"/>
          <w:color w:val="auto"/>
          <w:sz w:val="22"/>
          <w:szCs w:val="22"/>
        </w:rPr>
        <w:t>-Exit systém</w:t>
      </w:r>
    </w:p>
    <w:p w14:paraId="7BB95F86" w14:textId="77777777" w:rsidR="004E6219" w:rsidRPr="003A5AA8" w:rsidRDefault="004E6219" w:rsidP="004E6219">
      <w:pPr>
        <w:pStyle w:val="odpoved"/>
        <w:spacing w:after="0"/>
        <w:contextualSpacing w:val="0"/>
        <w:rPr>
          <w:rFonts w:asciiTheme="minorHAnsi" w:hAnsiTheme="minorHAnsi"/>
          <w:i w:val="0"/>
          <w:color w:val="auto"/>
        </w:rPr>
      </w:pPr>
    </w:p>
    <w:p w14:paraId="1192A06D" w14:textId="77777777" w:rsidR="004E6219" w:rsidRPr="003A5AA8" w:rsidRDefault="004E6219" w:rsidP="004E6219">
      <w:pPr>
        <w:pStyle w:val="odpoved"/>
        <w:spacing w:after="0"/>
        <w:contextualSpacing w:val="0"/>
        <w:rPr>
          <w:rFonts w:asciiTheme="minorHAnsi" w:hAnsiTheme="minorHAnsi"/>
          <w:i w:val="0"/>
          <w:color w:val="auto"/>
        </w:rPr>
      </w:pPr>
      <w:r w:rsidRPr="003A5AA8">
        <w:rPr>
          <w:rFonts w:asciiTheme="minorHAnsi" w:hAnsiTheme="minorHAnsi"/>
          <w:i w:val="0"/>
          <w:noProof/>
          <w:color w:val="auto"/>
          <w:lang w:eastAsia="cs-CZ"/>
        </w:rPr>
        <w:drawing>
          <wp:inline distT="0" distB="0" distL="0" distR="0" wp14:anchorId="169951D5" wp14:editId="12E52256">
            <wp:extent cx="3474000" cy="1602000"/>
            <wp:effectExtent l="0" t="0" r="0" b="0"/>
            <wp:docPr id="40" name="Picture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474000" cy="1602000"/>
                    </a:xfrm>
                    <a:prstGeom prst="rect">
                      <a:avLst/>
                    </a:prstGeom>
                    <a:noFill/>
                  </pic:spPr>
                </pic:pic>
              </a:graphicData>
            </a:graphic>
          </wp:inline>
        </w:drawing>
      </w:r>
    </w:p>
    <w:p w14:paraId="41213C1B" w14:textId="77777777" w:rsidR="004E6219" w:rsidRPr="003A5AA8" w:rsidRDefault="004E6219" w:rsidP="004E6219">
      <w:pPr>
        <w:pStyle w:val="Titulek"/>
        <w:jc w:val="center"/>
        <w:rPr>
          <w:rFonts w:asciiTheme="minorHAnsi" w:hAnsiTheme="minorHAnsi"/>
          <w:b w:val="0"/>
          <w:color w:val="auto"/>
          <w:sz w:val="22"/>
          <w:szCs w:val="22"/>
        </w:rPr>
      </w:pPr>
      <w:r w:rsidRPr="003A5AA8">
        <w:rPr>
          <w:rFonts w:asciiTheme="minorHAnsi" w:hAnsiTheme="minorHAnsi"/>
          <w:b w:val="0"/>
          <w:color w:val="auto"/>
          <w:sz w:val="22"/>
          <w:szCs w:val="22"/>
        </w:rPr>
        <w:t xml:space="preserve">Obrázek 2: navrhovaný </w:t>
      </w:r>
      <w:proofErr w:type="spellStart"/>
      <w:r w:rsidRPr="003A5AA8">
        <w:rPr>
          <w:rFonts w:asciiTheme="minorHAnsi" w:hAnsiTheme="minorHAnsi"/>
          <w:b w:val="0"/>
          <w:color w:val="auto"/>
          <w:sz w:val="22"/>
          <w:szCs w:val="22"/>
        </w:rPr>
        <w:t>Entry</w:t>
      </w:r>
      <w:proofErr w:type="spellEnd"/>
      <w:r w:rsidRPr="003A5AA8">
        <w:rPr>
          <w:rFonts w:asciiTheme="minorHAnsi" w:hAnsiTheme="minorHAnsi"/>
          <w:b w:val="0"/>
          <w:color w:val="auto"/>
          <w:sz w:val="22"/>
          <w:szCs w:val="22"/>
        </w:rPr>
        <w:t>-Exit systém</w:t>
      </w:r>
    </w:p>
    <w:p w14:paraId="330BAEBA" w14:textId="77777777" w:rsidR="004E6219" w:rsidRPr="003A5AA8" w:rsidRDefault="004E6219" w:rsidP="004E6219">
      <w:pPr>
        <w:pStyle w:val="odpoved"/>
        <w:spacing w:after="0"/>
        <w:contextualSpacing w:val="0"/>
        <w:rPr>
          <w:rFonts w:asciiTheme="minorHAnsi" w:hAnsiTheme="minorHAnsi"/>
          <w:i w:val="0"/>
          <w:color w:val="auto"/>
        </w:rPr>
      </w:pPr>
    </w:p>
    <w:p w14:paraId="623AE405" w14:textId="77777777" w:rsidR="004E6219" w:rsidRPr="003A5AA8" w:rsidRDefault="004E6219" w:rsidP="004E6219">
      <w:pPr>
        <w:pStyle w:val="odpoved"/>
        <w:spacing w:after="0"/>
        <w:ind w:left="0"/>
        <w:contextualSpacing w:val="0"/>
        <w:rPr>
          <w:rFonts w:asciiTheme="minorHAnsi" w:hAnsiTheme="minorHAnsi"/>
          <w:i w:val="0"/>
          <w:color w:val="auto"/>
        </w:rPr>
      </w:pPr>
      <w:r w:rsidRPr="003A5AA8">
        <w:rPr>
          <w:rFonts w:asciiTheme="minorHAnsi" w:hAnsiTheme="minorHAnsi"/>
          <w:i w:val="0"/>
          <w:color w:val="auto"/>
        </w:rPr>
        <w:t>Tento model by zůstal zachován, pouze by došlo k modifikaci vnímání bodů virtuálních zásobníků plynu, které by se v modelu přesunuly na virtuální obchodní bod, a přeprava by se pro ně zvlášť nerezervovala.</w:t>
      </w:r>
    </w:p>
    <w:p w14:paraId="41286638" w14:textId="6E632068" w:rsidR="00A76FA4" w:rsidRPr="003A5AA8" w:rsidRDefault="00A76FA4" w:rsidP="00F87ABC">
      <w:pPr>
        <w:pStyle w:val="odpoved"/>
        <w:spacing w:after="0"/>
        <w:ind w:left="0"/>
        <w:contextualSpacing w:val="0"/>
        <w:rPr>
          <w:rFonts w:asciiTheme="minorHAnsi" w:hAnsiTheme="minorHAnsi"/>
          <w:i w:val="0"/>
          <w:color w:val="auto"/>
        </w:rPr>
      </w:pPr>
    </w:p>
    <w:p w14:paraId="04DD6451" w14:textId="3BA97499" w:rsidR="00440B60" w:rsidRPr="003A5AA8" w:rsidRDefault="00440B60" w:rsidP="00E83EDC">
      <w:pPr>
        <w:pStyle w:val="Nadpis1"/>
      </w:pPr>
      <w:bookmarkStart w:id="4" w:name="_Toc477323753"/>
      <w:r w:rsidRPr="003A5AA8">
        <w:t>Popis smluvního modelu pro přesun plynu mezi VOB a virtuálním zásobníkem plynu</w:t>
      </w:r>
      <w:bookmarkEnd w:id="4"/>
    </w:p>
    <w:p w14:paraId="57A2A658" w14:textId="77777777" w:rsidR="009076D7" w:rsidRPr="003A5AA8" w:rsidRDefault="009076D7" w:rsidP="009076D7">
      <w:pPr>
        <w:rPr>
          <w:rFonts w:asciiTheme="minorHAnsi" w:hAnsiTheme="minorHAnsi"/>
        </w:rPr>
      </w:pPr>
    </w:p>
    <w:p w14:paraId="15D4624D" w14:textId="77777777" w:rsidR="009076D7" w:rsidRPr="003A5AA8" w:rsidRDefault="009076D7" w:rsidP="00E83EDC">
      <w:pPr>
        <w:jc w:val="both"/>
        <w:rPr>
          <w:rFonts w:asciiTheme="minorHAnsi" w:hAnsiTheme="minorHAnsi"/>
        </w:rPr>
      </w:pPr>
      <w:r w:rsidRPr="003A5AA8">
        <w:rPr>
          <w:rFonts w:asciiTheme="minorHAnsi" w:hAnsiTheme="minorHAnsi"/>
        </w:rPr>
        <w:t xml:space="preserve">Právním titulem pro přesun plynu na virtuální obchodní bod (dále jen „VOB“) prostřednictvím přepravní soustavy je příslušná smlouva o přepravě plynu. Tatáž smlouva o přepravě plynu je i právním titulem pro přesun plynu do virtuálního zásobníku plynu (dále jen „VZP“), který je zároveň dle navrženého modelu tzv. pokročilé virtualizace součástí VOB. Při vstupu plynu do ČR se plyn automaticky dostává na VOB a dochází tak implicitně k zaplacení služby přepravy na území ČR. Samotný přesun plynu do a z VZP není přepravou, ale pouze přesunem v rámci VOB. Mimo VOB stojí bod výrobny plynu, která dodává do soustavy nový plyn obdobně jako při importu. U skladování přitom dochází pouze k přechodnému uložení plynu, který stále zůstává součástí soustavy a VOB. </w:t>
      </w:r>
    </w:p>
    <w:p w14:paraId="0FCBDFC5" w14:textId="77777777" w:rsidR="009076D7" w:rsidRDefault="009076D7" w:rsidP="00E83EDC">
      <w:pPr>
        <w:jc w:val="both"/>
        <w:rPr>
          <w:rFonts w:asciiTheme="minorHAnsi" w:hAnsiTheme="minorHAnsi"/>
        </w:rPr>
      </w:pPr>
      <w:r w:rsidRPr="003A5AA8">
        <w:rPr>
          <w:rFonts w:asciiTheme="minorHAnsi" w:hAnsiTheme="minorHAnsi"/>
        </w:rPr>
        <w:lastRenderedPageBreak/>
        <w:t xml:space="preserve">Plyn může být zobchodován na VOB  a jeho nový majitel ho může zároveň uskladnit v zásobníku plynu. Nárok na přesun v rámci VOB do zásobníku plynu zůstává bez ohledu na to, kdo je majitelem plynu a zda má či nemá uzavřenou smlouvu o přepravě s provozovatelem přepravní soustavy. V tomto smyslu je dle předkládaného návrhu zapotřebí upravit Pravidla trhu s plynem. Model přesunu plynu v rámci virtuálního obchodního bodu je nezávislý na preferovaném modelu relokace povolených výnosů TSO. Detaily samotného předání mezi SSO a TSO by byly upraveny tak jako v současnosti v tzv. propojovací dohodě. </w:t>
      </w:r>
    </w:p>
    <w:p w14:paraId="5FE72F8E" w14:textId="77777777" w:rsidR="00E83EDC" w:rsidRPr="003A5AA8" w:rsidRDefault="00E83EDC" w:rsidP="00E83EDC">
      <w:pPr>
        <w:pStyle w:val="Nadpis1"/>
      </w:pPr>
      <w:bookmarkStart w:id="5" w:name="_Toc477323754"/>
      <w:r w:rsidRPr="003A5AA8">
        <w:t>Nominace přepravy na vstupním a výstupním bodě přepravní soustavy z/do zásobníku plynu</w:t>
      </w:r>
      <w:bookmarkEnd w:id="5"/>
    </w:p>
    <w:p w14:paraId="43184BCD" w14:textId="0A6AD6E3" w:rsidR="00E83EDC" w:rsidRDefault="00E83EDC" w:rsidP="00E83EDC">
      <w:pPr>
        <w:pStyle w:val="odpoved"/>
        <w:spacing w:after="0"/>
        <w:ind w:left="0"/>
        <w:contextualSpacing w:val="0"/>
        <w:rPr>
          <w:rFonts w:asciiTheme="minorHAnsi" w:hAnsiTheme="minorHAnsi"/>
          <w:i w:val="0"/>
          <w:color w:val="auto"/>
        </w:rPr>
      </w:pPr>
      <w:r w:rsidRPr="003A5AA8">
        <w:rPr>
          <w:rFonts w:asciiTheme="minorHAnsi" w:hAnsiTheme="minorHAnsi"/>
          <w:i w:val="0"/>
          <w:color w:val="auto"/>
        </w:rPr>
        <w:t>Dle navrhované varianty by zanikla nominace přepravy na vstupním a výstupním bodě přepravní soustavy z/do virtuálního zásobníku plynu, ale TSO by dostával souhrnnou nominaci na bod virtuálního zásobníku plynu od OTE nebo SSO, bude záležet na dohodě účastníků trhu (OTE, SSO a TSO). Nominace uskladňování by tedy sloužila jako nominace přepravy, a tedy pokyn k přepravě.</w:t>
      </w:r>
    </w:p>
    <w:p w14:paraId="467D0FBF" w14:textId="77777777" w:rsidR="005A4231" w:rsidRDefault="005A4231" w:rsidP="00E83EDC">
      <w:pPr>
        <w:pStyle w:val="odpoved"/>
        <w:spacing w:after="0"/>
        <w:ind w:left="0"/>
        <w:contextualSpacing w:val="0"/>
        <w:rPr>
          <w:rFonts w:asciiTheme="minorHAnsi" w:hAnsiTheme="minorHAnsi"/>
          <w:i w:val="0"/>
          <w:color w:val="auto"/>
        </w:rPr>
      </w:pPr>
    </w:p>
    <w:p w14:paraId="0A146E74" w14:textId="77777777" w:rsidR="005A4231" w:rsidRDefault="005A4231" w:rsidP="005A4231">
      <w:pPr>
        <w:pStyle w:val="Nadpis1"/>
      </w:pPr>
      <w:bookmarkStart w:id="6" w:name="_Toc477323755"/>
      <w:r>
        <w:t>Analýza dopadu na stávající smlouvy o poskytnutí služby přepravy plynu</w:t>
      </w:r>
      <w:bookmarkEnd w:id="6"/>
    </w:p>
    <w:p w14:paraId="4CDE0639" w14:textId="77777777" w:rsidR="005A4231" w:rsidRPr="005A4231" w:rsidRDefault="005A4231" w:rsidP="005A4231">
      <w:pPr>
        <w:pStyle w:val="Bezmezer"/>
        <w:rPr>
          <w:i/>
          <w:color w:val="5B9BD5" w:themeColor="accent1"/>
        </w:rPr>
      </w:pPr>
      <w:r w:rsidRPr="005A4231">
        <w:rPr>
          <w:i/>
          <w:color w:val="5B9BD5" w:themeColor="accent1"/>
        </w:rPr>
        <w:t>Analýza dopadu na stávající smlouvy o poskytnutí služby přepravy plynu, na jejichž základě má subjekt zúčtování nebo zahraniční účastník rezervovánu přepravní kapacitu z/do zásobníku plynu i termínu případné implementace návrhu do modelu trhu s plynem v ČR</w:t>
      </w:r>
    </w:p>
    <w:p w14:paraId="7CA18761" w14:textId="77777777" w:rsidR="005A4231" w:rsidRPr="005A4231" w:rsidRDefault="005A4231" w:rsidP="005A4231">
      <w:pPr>
        <w:pStyle w:val="Bezmezer"/>
        <w:rPr>
          <w:i/>
        </w:rPr>
      </w:pPr>
    </w:p>
    <w:p w14:paraId="5BD389CD" w14:textId="77777777" w:rsidR="005A4231" w:rsidRPr="003A5AA8" w:rsidRDefault="005A4231" w:rsidP="005A4231">
      <w:pPr>
        <w:pStyle w:val="odpoved"/>
        <w:spacing w:after="0"/>
        <w:ind w:left="0"/>
        <w:contextualSpacing w:val="0"/>
        <w:rPr>
          <w:rFonts w:asciiTheme="minorHAnsi" w:hAnsiTheme="minorHAnsi"/>
          <w:i w:val="0"/>
          <w:color w:val="auto"/>
        </w:rPr>
      </w:pPr>
      <w:r w:rsidRPr="003A5AA8">
        <w:rPr>
          <w:rFonts w:asciiTheme="minorHAnsi" w:hAnsiTheme="minorHAnsi"/>
          <w:i w:val="0"/>
          <w:color w:val="auto"/>
        </w:rPr>
        <w:t>Podle § 72 odst. 5 energetického zákona platí, že smlouvou o poskytnutí služby přepravy plynu se zavazuje provozovatel přepravní soustavy poskytovat službu přepravy plynu pro účastníka trhu s plynem a tento účastník trhu s plynem se zavazuje zaplatit za službu přepravy plynu regulovanou cenu. V případě, že by již nadále Energetický regulační úřad nestanovil regulovanou cenu za rezervaci kapacity do a ze zásobníku plynu v současné podobě, nebyli by z povahy věci účastníci trhu povinni takovou cenu nadále hradit. Případné smluvní ujednání stran stanovené smlouvou o přepravě týkající se povinnosti účastníka trhu hradit provozovateli přepraní soustavy regulovanou cenu za rezervaci kapacity tak nadále bude postrádat zákonný základ a jako takové by zřejmě nebylo nadále vymahatelné. Proto by bylo vhodné dané ustanovení smlouvy o přepravě prostřednictvím jejího dodatku zrušit.</w:t>
      </w:r>
    </w:p>
    <w:p w14:paraId="6C7CC813" w14:textId="77777777" w:rsidR="005A4231" w:rsidRPr="003A5AA8" w:rsidRDefault="005A4231" w:rsidP="00E83EDC">
      <w:pPr>
        <w:pStyle w:val="odpoved"/>
        <w:spacing w:after="0"/>
        <w:ind w:left="0"/>
        <w:contextualSpacing w:val="0"/>
        <w:rPr>
          <w:rFonts w:asciiTheme="minorHAnsi" w:hAnsiTheme="minorHAnsi"/>
          <w:i w:val="0"/>
          <w:color w:val="auto"/>
        </w:rPr>
      </w:pPr>
    </w:p>
    <w:p w14:paraId="481A8B5A" w14:textId="77777777" w:rsidR="00E83EDC" w:rsidRPr="003A5AA8" w:rsidRDefault="00E83EDC" w:rsidP="00E83EDC">
      <w:pPr>
        <w:pStyle w:val="Nadpis1"/>
      </w:pPr>
      <w:bookmarkStart w:id="7" w:name="_Toc477323756"/>
      <w:r w:rsidRPr="003A5AA8">
        <w:t>Varianty způsobu pokrytí výpadku výnosů provozovatele přepravní soustavy</w:t>
      </w:r>
      <w:bookmarkEnd w:id="7"/>
    </w:p>
    <w:p w14:paraId="3D60DAEE" w14:textId="77777777" w:rsidR="00E83EDC" w:rsidRPr="003A5AA8" w:rsidRDefault="00E83EDC" w:rsidP="00E83EDC">
      <w:pPr>
        <w:pStyle w:val="odpoved"/>
        <w:spacing w:after="0"/>
        <w:ind w:left="0"/>
        <w:contextualSpacing w:val="0"/>
        <w:rPr>
          <w:rFonts w:asciiTheme="minorHAnsi" w:hAnsiTheme="minorHAnsi"/>
          <w:i w:val="0"/>
          <w:color w:val="auto"/>
        </w:rPr>
      </w:pPr>
      <w:r w:rsidRPr="003A5AA8">
        <w:rPr>
          <w:rFonts w:asciiTheme="minorHAnsi" w:hAnsiTheme="minorHAnsi"/>
          <w:i w:val="0"/>
          <w:color w:val="auto"/>
        </w:rPr>
        <w:t>V principu vidíme dvě varianty a jejich kombinaci:</w:t>
      </w:r>
    </w:p>
    <w:p w14:paraId="47BBB121" w14:textId="77777777" w:rsidR="00E83EDC" w:rsidRPr="003A5AA8" w:rsidRDefault="00E83EDC" w:rsidP="00E83EDC">
      <w:pPr>
        <w:pStyle w:val="odpoved"/>
        <w:numPr>
          <w:ilvl w:val="0"/>
          <w:numId w:val="4"/>
        </w:numPr>
        <w:spacing w:after="0"/>
        <w:ind w:left="426"/>
        <w:contextualSpacing w:val="0"/>
        <w:rPr>
          <w:rFonts w:asciiTheme="minorHAnsi" w:hAnsiTheme="minorHAnsi"/>
          <w:i w:val="0"/>
          <w:color w:val="auto"/>
        </w:rPr>
      </w:pPr>
      <w:r w:rsidRPr="003A5AA8">
        <w:rPr>
          <w:rFonts w:asciiTheme="minorHAnsi" w:hAnsiTheme="minorHAnsi"/>
          <w:i w:val="0"/>
          <w:color w:val="auto"/>
        </w:rPr>
        <w:t>Úpravu vstupních tarifů na hraničních bodech, ať již přímo pouze zvýšením vstupního tarifu nebo dílčím srovnáním vstupních a výstupních tarifů na hraničních bodech, tedy dílčím zvýšením vstupního a snížením výstupního tarifu ve stejné výši. Obě možné úpravy by vedly ke zvýšení výnosů vybraných provozovatelem přepravní soustavy na hraničních bodech.</w:t>
      </w:r>
    </w:p>
    <w:p w14:paraId="06872292" w14:textId="77777777" w:rsidR="00E83EDC" w:rsidRPr="003A5AA8" w:rsidRDefault="00E83EDC" w:rsidP="00E83EDC">
      <w:pPr>
        <w:pStyle w:val="odpoved"/>
        <w:numPr>
          <w:ilvl w:val="0"/>
          <w:numId w:val="4"/>
        </w:numPr>
        <w:spacing w:after="0"/>
        <w:ind w:left="426"/>
        <w:contextualSpacing w:val="0"/>
        <w:rPr>
          <w:rFonts w:asciiTheme="minorHAnsi" w:hAnsiTheme="minorHAnsi"/>
          <w:i w:val="0"/>
          <w:color w:val="auto"/>
        </w:rPr>
      </w:pPr>
      <w:r w:rsidRPr="003A5AA8">
        <w:rPr>
          <w:rFonts w:asciiTheme="minorHAnsi" w:hAnsiTheme="minorHAnsi"/>
          <w:i w:val="0"/>
          <w:color w:val="auto"/>
        </w:rPr>
        <w:t>Alternativní nebo komplementární možností je přenesení výnosů nevybraných na přepravě do/ze virtuálního zásobníku na domácí bod. Na domácím bodě by zvýšené tarify TSO následně vstupovaly do výpočtu tarifů DSO.</w:t>
      </w:r>
    </w:p>
    <w:p w14:paraId="0945FDE1" w14:textId="77777777" w:rsidR="00E83EDC" w:rsidRPr="003A5AA8" w:rsidRDefault="00E83EDC" w:rsidP="00E83EDC">
      <w:pPr>
        <w:pStyle w:val="odpoved"/>
        <w:spacing w:after="0"/>
        <w:ind w:left="426"/>
        <w:contextualSpacing w:val="0"/>
        <w:rPr>
          <w:rFonts w:asciiTheme="minorHAnsi" w:hAnsiTheme="minorHAnsi"/>
          <w:i w:val="0"/>
          <w:color w:val="auto"/>
        </w:rPr>
      </w:pPr>
      <w:r w:rsidRPr="003A5AA8">
        <w:rPr>
          <w:rFonts w:asciiTheme="minorHAnsi" w:hAnsiTheme="minorHAnsi"/>
          <w:i w:val="0"/>
          <w:color w:val="auto"/>
        </w:rPr>
        <w:lastRenderedPageBreak/>
        <w:t>Oba tyto způsoby výběru výnosů by odpovídaly logice, že tímto návrhem/změnou se zvyšuje likvidita na domácím trhu a vzrůstá bezpečnost dodávky zemního plynu a pravděpodobnost neuzavření podzemních zásobníků, tedy výhody zejména pro trh v ČR.</w:t>
      </w:r>
    </w:p>
    <w:p w14:paraId="5D29551D" w14:textId="77777777" w:rsidR="00E83EDC" w:rsidRPr="003A5AA8" w:rsidRDefault="00E83EDC" w:rsidP="00E83EDC">
      <w:pPr>
        <w:pStyle w:val="odpoved"/>
        <w:spacing w:after="0"/>
        <w:ind w:left="426"/>
        <w:contextualSpacing w:val="0"/>
        <w:rPr>
          <w:rFonts w:asciiTheme="minorHAnsi" w:hAnsiTheme="minorHAnsi"/>
          <w:i w:val="0"/>
          <w:color w:val="auto"/>
        </w:rPr>
      </w:pPr>
      <w:r w:rsidRPr="003A5AA8">
        <w:rPr>
          <w:rFonts w:asciiTheme="minorHAnsi" w:hAnsiTheme="minorHAnsi"/>
          <w:i w:val="0"/>
          <w:color w:val="auto"/>
        </w:rPr>
        <w:t xml:space="preserve">Protože v současnosti skladovatelé využívají pouze malé množství přepravní kapacity do virtuálního zásobníku a reálné výnosy TSO z této služby jsou ve srovnání s celkovými regulovanými výnosy TSO malé, neočekáváme tedy zásadní komplikace z jejich realokace. Předpokládáme a je to cílem tohoto návrhu, že celkový objem regulovaných výnosů TSO by se z důvodu tohoto návrh nezměnil, metodika regulace prostřednictvím povolených výnosů a korekčních faktorů za </w:t>
      </w:r>
      <w:proofErr w:type="spellStart"/>
      <w:r w:rsidRPr="003A5AA8">
        <w:rPr>
          <w:rFonts w:asciiTheme="minorHAnsi" w:hAnsiTheme="minorHAnsi"/>
          <w:i w:val="0"/>
          <w:color w:val="auto"/>
        </w:rPr>
        <w:t>nadvýběr</w:t>
      </w:r>
      <w:proofErr w:type="spellEnd"/>
      <w:r w:rsidRPr="003A5AA8">
        <w:rPr>
          <w:rFonts w:asciiTheme="minorHAnsi" w:hAnsiTheme="minorHAnsi"/>
          <w:i w:val="0"/>
          <w:color w:val="auto"/>
        </w:rPr>
        <w:t xml:space="preserve"> nebo </w:t>
      </w:r>
      <w:proofErr w:type="spellStart"/>
      <w:r w:rsidRPr="003A5AA8">
        <w:rPr>
          <w:rFonts w:asciiTheme="minorHAnsi" w:hAnsiTheme="minorHAnsi"/>
          <w:i w:val="0"/>
          <w:color w:val="auto"/>
        </w:rPr>
        <w:t>nedovýběr</w:t>
      </w:r>
      <w:proofErr w:type="spellEnd"/>
      <w:r w:rsidRPr="003A5AA8">
        <w:rPr>
          <w:rFonts w:asciiTheme="minorHAnsi" w:hAnsiTheme="minorHAnsi"/>
          <w:i w:val="0"/>
          <w:color w:val="auto"/>
        </w:rPr>
        <w:t xml:space="preserve"> prostředků by zůstala zachována.</w:t>
      </w:r>
    </w:p>
    <w:p w14:paraId="4C181439" w14:textId="77777777" w:rsidR="009076D7" w:rsidRPr="003A5AA8" w:rsidRDefault="009076D7" w:rsidP="00F87ABC">
      <w:pPr>
        <w:pStyle w:val="odpoved"/>
        <w:spacing w:after="0"/>
        <w:ind w:left="0"/>
        <w:contextualSpacing w:val="0"/>
        <w:rPr>
          <w:rFonts w:asciiTheme="minorHAnsi" w:hAnsiTheme="minorHAnsi"/>
          <w:i w:val="0"/>
          <w:color w:val="auto"/>
        </w:rPr>
      </w:pPr>
    </w:p>
    <w:p w14:paraId="1DAB4904" w14:textId="11D62508" w:rsidR="00F04D83" w:rsidRPr="003A5AA8" w:rsidRDefault="00440B60" w:rsidP="00E83EDC">
      <w:pPr>
        <w:pStyle w:val="Nadpis1"/>
      </w:pPr>
      <w:bookmarkStart w:id="8" w:name="_Toc477323757"/>
      <w:r w:rsidRPr="003A5AA8">
        <w:t>Přínosy pokročilé virtualizace</w:t>
      </w:r>
      <w:bookmarkEnd w:id="8"/>
    </w:p>
    <w:p w14:paraId="0F98185A" w14:textId="62206EF8" w:rsidR="00437852" w:rsidRPr="003A5AA8" w:rsidRDefault="00440B60" w:rsidP="00E83EDC">
      <w:pPr>
        <w:pStyle w:val="odpoved"/>
        <w:spacing w:after="0"/>
        <w:ind w:left="0"/>
        <w:contextualSpacing w:val="0"/>
        <w:rPr>
          <w:rFonts w:asciiTheme="minorHAnsi" w:hAnsiTheme="minorHAnsi"/>
          <w:i w:val="0"/>
          <w:color w:val="auto"/>
        </w:rPr>
      </w:pPr>
      <w:r w:rsidRPr="003A5AA8">
        <w:rPr>
          <w:rFonts w:asciiTheme="minorHAnsi" w:hAnsiTheme="minorHAnsi"/>
          <w:i w:val="0"/>
          <w:color w:val="auto"/>
        </w:rPr>
        <w:t>N</w:t>
      </w:r>
      <w:r w:rsidR="00437852" w:rsidRPr="003A5AA8">
        <w:rPr>
          <w:rFonts w:asciiTheme="minorHAnsi" w:hAnsiTheme="minorHAnsi"/>
          <w:i w:val="0"/>
          <w:color w:val="auto"/>
        </w:rPr>
        <w:t>ávrh bude mít následující přínosy:</w:t>
      </w:r>
    </w:p>
    <w:p w14:paraId="69FD5F16" w14:textId="7CEFF431" w:rsidR="00971E0D" w:rsidRPr="003A5AA8" w:rsidRDefault="00971E0D" w:rsidP="00E83EDC">
      <w:pPr>
        <w:pStyle w:val="odpoved"/>
        <w:numPr>
          <w:ilvl w:val="0"/>
          <w:numId w:val="14"/>
        </w:numPr>
        <w:spacing w:after="0"/>
        <w:ind w:left="284" w:hanging="284"/>
        <w:contextualSpacing w:val="0"/>
        <w:rPr>
          <w:rFonts w:asciiTheme="minorHAnsi" w:hAnsiTheme="minorHAnsi"/>
          <w:i w:val="0"/>
          <w:color w:val="auto"/>
        </w:rPr>
      </w:pPr>
      <w:r w:rsidRPr="003A5AA8">
        <w:rPr>
          <w:rFonts w:asciiTheme="minorHAnsi" w:hAnsiTheme="minorHAnsi"/>
          <w:i w:val="0"/>
          <w:color w:val="auto"/>
        </w:rPr>
        <w:t xml:space="preserve">zatraktivnění skladování v ČR, jež povede k jeho většímu obchodnímu využívání (rezervace skladovací kapacity při nižší očekávaných </w:t>
      </w:r>
      <w:proofErr w:type="spellStart"/>
      <w:r w:rsidRPr="003A5AA8">
        <w:rPr>
          <w:rFonts w:asciiTheme="minorHAnsi" w:hAnsiTheme="minorHAnsi"/>
          <w:i w:val="0"/>
          <w:color w:val="auto"/>
        </w:rPr>
        <w:t>spreadech</w:t>
      </w:r>
      <w:proofErr w:type="spellEnd"/>
      <w:r w:rsidRPr="003A5AA8">
        <w:rPr>
          <w:rFonts w:asciiTheme="minorHAnsi" w:hAnsiTheme="minorHAnsi"/>
          <w:i w:val="0"/>
          <w:color w:val="auto"/>
        </w:rPr>
        <w:t xml:space="preserve"> léto – zima, vyšší využívání pro krátkodobé příležitosti při odstranění variabilního poplatku za přenesený objem plynu);</w:t>
      </w:r>
    </w:p>
    <w:p w14:paraId="3835CF0C" w14:textId="2F484565" w:rsidR="00971E0D" w:rsidRPr="003A5AA8" w:rsidRDefault="00971E0D" w:rsidP="00E83EDC">
      <w:pPr>
        <w:pStyle w:val="odpoved"/>
        <w:numPr>
          <w:ilvl w:val="0"/>
          <w:numId w:val="14"/>
        </w:numPr>
        <w:spacing w:after="0"/>
        <w:ind w:left="284" w:hanging="284"/>
        <w:contextualSpacing w:val="0"/>
        <w:rPr>
          <w:rFonts w:asciiTheme="minorHAnsi" w:hAnsiTheme="minorHAnsi"/>
          <w:i w:val="0"/>
          <w:color w:val="auto"/>
        </w:rPr>
      </w:pPr>
      <w:r w:rsidRPr="003A5AA8">
        <w:rPr>
          <w:rFonts w:asciiTheme="minorHAnsi" w:hAnsiTheme="minorHAnsi"/>
          <w:i w:val="0"/>
          <w:color w:val="auto"/>
        </w:rPr>
        <w:t>větší využívání skladovacích kapacit povede k nárůstu obchodní likvidity na trhu s plynem v ČR z důvodů nižších nákladů pro využití obchodních příležitostí (jako častější užívání zásobníků pro vyrovnávání denních a vnitrodenních cenových výkyvů), a tedy ke snížení nákladů obchodování (</w:t>
      </w:r>
      <w:proofErr w:type="spellStart"/>
      <w:r w:rsidRPr="003A5AA8">
        <w:rPr>
          <w:rFonts w:asciiTheme="minorHAnsi" w:hAnsiTheme="minorHAnsi"/>
          <w:i w:val="0"/>
          <w:color w:val="auto"/>
        </w:rPr>
        <w:t>bid-offer</w:t>
      </w:r>
      <w:proofErr w:type="spellEnd"/>
      <w:r w:rsidRPr="003A5AA8">
        <w:rPr>
          <w:rFonts w:asciiTheme="minorHAnsi" w:hAnsiTheme="minorHAnsi"/>
          <w:i w:val="0"/>
          <w:color w:val="auto"/>
        </w:rPr>
        <w:t xml:space="preserve"> </w:t>
      </w:r>
      <w:proofErr w:type="spellStart"/>
      <w:r w:rsidRPr="003A5AA8">
        <w:rPr>
          <w:rFonts w:asciiTheme="minorHAnsi" w:hAnsiTheme="minorHAnsi"/>
          <w:i w:val="0"/>
          <w:color w:val="auto"/>
        </w:rPr>
        <w:t>spread</w:t>
      </w:r>
      <w:proofErr w:type="spellEnd"/>
      <w:r w:rsidRPr="003A5AA8">
        <w:rPr>
          <w:rFonts w:asciiTheme="minorHAnsi" w:hAnsiTheme="minorHAnsi"/>
          <w:i w:val="0"/>
          <w:color w:val="auto"/>
        </w:rPr>
        <w:t>) na virtuálním obchodním bodě;</w:t>
      </w:r>
    </w:p>
    <w:p w14:paraId="328BE523" w14:textId="033D8854" w:rsidR="003D3689" w:rsidRPr="003A5AA8" w:rsidRDefault="003D3689" w:rsidP="00E83EDC">
      <w:pPr>
        <w:pStyle w:val="odpoved"/>
        <w:numPr>
          <w:ilvl w:val="0"/>
          <w:numId w:val="14"/>
        </w:numPr>
        <w:spacing w:after="0"/>
        <w:ind w:left="284" w:hanging="284"/>
        <w:contextualSpacing w:val="0"/>
        <w:rPr>
          <w:rFonts w:asciiTheme="minorHAnsi" w:hAnsiTheme="minorHAnsi"/>
          <w:i w:val="0"/>
          <w:color w:val="auto"/>
        </w:rPr>
      </w:pPr>
      <w:r w:rsidRPr="003A5AA8">
        <w:rPr>
          <w:rFonts w:asciiTheme="minorHAnsi" w:hAnsiTheme="minorHAnsi"/>
          <w:i w:val="0"/>
          <w:color w:val="auto"/>
        </w:rPr>
        <w:t>zjednodušení obchodního modelu trhu s plynem v ČR společně s větší dosaženou obchodní likviditou i pravděpodobně k posílení role virtuálního obchodního bodu v regionu;</w:t>
      </w:r>
    </w:p>
    <w:p w14:paraId="0354C319" w14:textId="267D98EA" w:rsidR="00971E0D" w:rsidRPr="003A5AA8" w:rsidRDefault="00971E0D" w:rsidP="00E83EDC">
      <w:pPr>
        <w:pStyle w:val="odpoved"/>
        <w:numPr>
          <w:ilvl w:val="0"/>
          <w:numId w:val="14"/>
        </w:numPr>
        <w:spacing w:after="0"/>
        <w:ind w:left="284" w:hanging="284"/>
        <w:contextualSpacing w:val="0"/>
        <w:rPr>
          <w:rFonts w:asciiTheme="minorHAnsi" w:hAnsiTheme="minorHAnsi"/>
          <w:i w:val="0"/>
          <w:color w:val="auto"/>
        </w:rPr>
      </w:pPr>
      <w:r w:rsidRPr="003A5AA8">
        <w:rPr>
          <w:rFonts w:asciiTheme="minorHAnsi" w:hAnsiTheme="minorHAnsi"/>
          <w:i w:val="0"/>
          <w:color w:val="auto"/>
        </w:rPr>
        <w:t>větší využívání skladovacích kapacit povede také ke zvýšení bezpečnosti dodávek v ČR a zejména v delším časovém období by mělo snížit pravděpodobnost nezajištění návratnosti investic do podzemních zásobníků a zamezit jejich možnému uzavírání z důvodu dlouhodobé nerentability;</w:t>
      </w:r>
    </w:p>
    <w:p w14:paraId="4F1CD1EE" w14:textId="650618A3" w:rsidR="00602C90" w:rsidRPr="003A5AA8" w:rsidRDefault="003D3689" w:rsidP="00E83EDC">
      <w:pPr>
        <w:pStyle w:val="odpoved"/>
        <w:numPr>
          <w:ilvl w:val="0"/>
          <w:numId w:val="14"/>
        </w:numPr>
        <w:spacing w:after="0"/>
        <w:ind w:left="284" w:hanging="284"/>
        <w:contextualSpacing w:val="0"/>
        <w:rPr>
          <w:rFonts w:asciiTheme="minorHAnsi" w:hAnsiTheme="minorHAnsi"/>
          <w:i w:val="0"/>
          <w:color w:val="auto"/>
        </w:rPr>
      </w:pPr>
      <w:r w:rsidRPr="003A5AA8">
        <w:rPr>
          <w:rFonts w:asciiTheme="minorHAnsi" w:hAnsiTheme="minorHAnsi"/>
          <w:i w:val="0"/>
          <w:color w:val="auto"/>
        </w:rPr>
        <w:t>zajistí</w:t>
      </w:r>
      <w:r w:rsidR="00971E0D" w:rsidRPr="003A5AA8">
        <w:rPr>
          <w:rFonts w:asciiTheme="minorHAnsi" w:hAnsiTheme="minorHAnsi"/>
          <w:i w:val="0"/>
          <w:color w:val="auto"/>
        </w:rPr>
        <w:t xml:space="preserve"> i do budoucna, aby obchodníci s plynem byli schopni plnit legislativní podmínku zajistit BSD minimálně z </w:t>
      </w:r>
      <w:proofErr w:type="gramStart"/>
      <w:r w:rsidR="00971E0D" w:rsidRPr="003A5AA8">
        <w:rPr>
          <w:rFonts w:asciiTheme="minorHAnsi" w:hAnsiTheme="minorHAnsi"/>
          <w:i w:val="0"/>
          <w:color w:val="auto"/>
        </w:rPr>
        <w:t>30-ti</w:t>
      </w:r>
      <w:proofErr w:type="gramEnd"/>
      <w:r w:rsidR="00971E0D" w:rsidRPr="003A5AA8">
        <w:rPr>
          <w:rFonts w:asciiTheme="minorHAnsi" w:hAnsiTheme="minorHAnsi"/>
          <w:i w:val="0"/>
          <w:color w:val="auto"/>
        </w:rPr>
        <w:t xml:space="preserve"> procent z podzemních zásobníků.</w:t>
      </w:r>
    </w:p>
    <w:p w14:paraId="3EE2BB59" w14:textId="77777777" w:rsidR="009076D7" w:rsidRPr="003A5AA8" w:rsidRDefault="009076D7" w:rsidP="009076D7">
      <w:pPr>
        <w:pStyle w:val="odpoved"/>
        <w:spacing w:after="0"/>
        <w:ind w:left="1080"/>
        <w:contextualSpacing w:val="0"/>
        <w:rPr>
          <w:rFonts w:asciiTheme="minorHAnsi" w:hAnsiTheme="minorHAnsi"/>
          <w:i w:val="0"/>
          <w:color w:val="auto"/>
        </w:rPr>
      </w:pPr>
    </w:p>
    <w:p w14:paraId="20B0A250" w14:textId="3E1CE1C1" w:rsidR="009076D7" w:rsidRPr="003A5AA8" w:rsidRDefault="00440B60" w:rsidP="00E83EDC">
      <w:pPr>
        <w:pStyle w:val="Nadpis1"/>
      </w:pPr>
      <w:bookmarkStart w:id="9" w:name="_Toc477323758"/>
      <w:r w:rsidRPr="003A5AA8">
        <w:t xml:space="preserve">Přínos pokročilé virtualizace </w:t>
      </w:r>
      <w:r w:rsidR="009076D7" w:rsidRPr="003A5AA8">
        <w:t>ke zvýšení využití zásobníků a tím ke zvýšení bezpečnosti dodávek v ČR</w:t>
      </w:r>
      <w:bookmarkEnd w:id="9"/>
    </w:p>
    <w:p w14:paraId="1AA080B4" w14:textId="77777777" w:rsidR="009076D7" w:rsidRPr="003A5AA8" w:rsidRDefault="009076D7" w:rsidP="00E83EDC">
      <w:pPr>
        <w:pStyle w:val="odpoved"/>
        <w:ind w:left="0"/>
        <w:rPr>
          <w:rFonts w:asciiTheme="minorHAnsi" w:hAnsiTheme="minorHAnsi"/>
          <w:i w:val="0"/>
          <w:color w:val="auto"/>
        </w:rPr>
      </w:pPr>
      <w:r w:rsidRPr="003A5AA8">
        <w:rPr>
          <w:rFonts w:asciiTheme="minorHAnsi" w:hAnsiTheme="minorHAnsi"/>
          <w:i w:val="0"/>
          <w:color w:val="auto"/>
        </w:rPr>
        <w:t xml:space="preserve">Klesající zájem o skladování v ČR se projevuje klesajícími cenami za skladování a také mimo jiné faktem, že v loňském roce nebyla na začátku skladovacího roku, tedy k 1. 4. 2016 prodána všechna volná kapacita v zásobníku </w:t>
      </w:r>
      <w:proofErr w:type="spellStart"/>
      <w:r w:rsidRPr="003A5AA8">
        <w:rPr>
          <w:rFonts w:asciiTheme="minorHAnsi" w:hAnsiTheme="minorHAnsi"/>
          <w:i w:val="0"/>
          <w:color w:val="auto"/>
        </w:rPr>
        <w:t>innogy</w:t>
      </w:r>
      <w:proofErr w:type="spellEnd"/>
      <w:r w:rsidRPr="003A5AA8">
        <w:rPr>
          <w:rFonts w:asciiTheme="minorHAnsi" w:hAnsiTheme="minorHAnsi"/>
          <w:i w:val="0"/>
          <w:color w:val="auto"/>
        </w:rPr>
        <w:t xml:space="preserve"> </w:t>
      </w:r>
      <w:proofErr w:type="spellStart"/>
      <w:r w:rsidRPr="003A5AA8">
        <w:rPr>
          <w:rFonts w:asciiTheme="minorHAnsi" w:hAnsiTheme="minorHAnsi"/>
          <w:i w:val="0"/>
          <w:color w:val="auto"/>
        </w:rPr>
        <w:t>Gas</w:t>
      </w:r>
      <w:proofErr w:type="spellEnd"/>
      <w:r w:rsidRPr="003A5AA8">
        <w:rPr>
          <w:rFonts w:asciiTheme="minorHAnsi" w:hAnsiTheme="minorHAnsi"/>
          <w:i w:val="0"/>
          <w:color w:val="auto"/>
        </w:rPr>
        <w:t xml:space="preserve"> </w:t>
      </w:r>
      <w:proofErr w:type="spellStart"/>
      <w:r w:rsidRPr="003A5AA8">
        <w:rPr>
          <w:rFonts w:asciiTheme="minorHAnsi" w:hAnsiTheme="minorHAnsi"/>
          <w:i w:val="0"/>
          <w:color w:val="auto"/>
        </w:rPr>
        <w:t>Storage</w:t>
      </w:r>
      <w:proofErr w:type="spellEnd"/>
      <w:r w:rsidRPr="003A5AA8">
        <w:rPr>
          <w:rFonts w:asciiTheme="minorHAnsi" w:hAnsiTheme="minorHAnsi"/>
          <w:i w:val="0"/>
          <w:color w:val="auto"/>
        </w:rPr>
        <w:t xml:space="preserve">. Zbývající kapacita byla prodána později na období kratší než jeden rok. Klesající zájem o skladování je tedy citelný a dlouhodobý. Tento fakt je třeba vnímat především v kontextu končících dlouhodobých smluv o skladování, které pokrývají zhruba 70% skladovací kapacity dostupné na českém trhu a které tedy nejsou předmětem každoročních aukcí. Zároveň jsou české zásobníky v přímé konkurenci se zásobníky v Německu, odkud je dovážen plyn do ČR. </w:t>
      </w:r>
    </w:p>
    <w:p w14:paraId="1A763E2D" w14:textId="77777777" w:rsidR="009076D7" w:rsidRPr="003A5AA8" w:rsidRDefault="009076D7" w:rsidP="00E83EDC">
      <w:pPr>
        <w:pStyle w:val="odpoved"/>
        <w:ind w:left="0"/>
        <w:rPr>
          <w:rFonts w:asciiTheme="minorHAnsi" w:hAnsiTheme="minorHAnsi"/>
          <w:i w:val="0"/>
          <w:color w:val="auto"/>
        </w:rPr>
      </w:pPr>
      <w:r w:rsidRPr="003A5AA8">
        <w:rPr>
          <w:rFonts w:asciiTheme="minorHAnsi" w:hAnsiTheme="minorHAnsi"/>
          <w:i w:val="0"/>
          <w:color w:val="auto"/>
        </w:rPr>
        <w:t>Navrhované sloučení VOB a virtuálního zásobníku plynu by bylo impulzem ke zvýšení zájmu o skladování v ČR. Podíváme-li se na celkový náklad skladování u sezónního produktu, pak přeprava tvoří 4%</w:t>
      </w:r>
      <w:r w:rsidRPr="00F21E67">
        <w:rPr>
          <w:rFonts w:asciiTheme="minorHAnsi" w:hAnsiTheme="minorHAnsi"/>
          <w:i w:val="0"/>
          <w:color w:val="auto"/>
          <w:vertAlign w:val="superscript"/>
        </w:rPr>
        <w:footnoteReference w:id="1"/>
      </w:r>
      <w:r w:rsidRPr="003A5AA8">
        <w:rPr>
          <w:rFonts w:asciiTheme="minorHAnsi" w:hAnsiTheme="minorHAnsi"/>
          <w:i w:val="0"/>
          <w:color w:val="auto"/>
        </w:rPr>
        <w:t xml:space="preserve"> z celkových nákladů. Při využívání skladovací kapacity pro krátkodobé obchodování pak </w:t>
      </w:r>
      <w:r w:rsidRPr="003A5AA8">
        <w:rPr>
          <w:rFonts w:asciiTheme="minorHAnsi" w:hAnsiTheme="minorHAnsi"/>
          <w:i w:val="0"/>
          <w:color w:val="auto"/>
        </w:rPr>
        <w:lastRenderedPageBreak/>
        <w:t>tvoří přeprava takřka 10%</w:t>
      </w:r>
      <w:r w:rsidRPr="00F21E67">
        <w:rPr>
          <w:rFonts w:asciiTheme="minorHAnsi" w:hAnsiTheme="minorHAnsi"/>
          <w:i w:val="0"/>
          <w:color w:val="auto"/>
          <w:vertAlign w:val="superscript"/>
        </w:rPr>
        <w:footnoteReference w:id="2"/>
      </w:r>
      <w:r w:rsidRPr="003A5AA8">
        <w:rPr>
          <w:rFonts w:asciiTheme="minorHAnsi" w:hAnsiTheme="minorHAnsi"/>
          <w:i w:val="0"/>
          <w:color w:val="auto"/>
        </w:rPr>
        <w:t xml:space="preserve"> z ceny skladovací kapacity (při využití denní přepravní kapacity do a ze zásobníku). Ještě větší přínos než samotné snížení nákladů by však mělo maximální administrativní zjednodušení využívání zásobníku. Obchodník by mohl kdykoli a bez dodatečných nákladů převést svůj plyn ze zásobníku na VOB. Toto zjednodušení by vytvořilo významnou přidanou hodnotu pro ukladatele. Lze přepokládat, že by ukladatelé více využívali možnosti virtuálního obchodního bodu a tudíž by čistá finanční úspora byla ještě vyšší než uvedená 4%. Krátkodobé přepravní produkty jsou dražší než dlouhodobé, proto je využívání aktuálních příležitostí na trhu dražší v poměru na jednotku přepraveného plynu. Zároveň ukladatelé nebudou nuceni skládat jistinu u přepravce pro zajištění přepravy do a ze zásobníku, což je zvláště pro menší obchodníky bariérou kvůli omezenému cash </w:t>
      </w:r>
      <w:proofErr w:type="spellStart"/>
      <w:r w:rsidRPr="003A5AA8">
        <w:rPr>
          <w:rFonts w:asciiTheme="minorHAnsi" w:hAnsiTheme="minorHAnsi"/>
          <w:i w:val="0"/>
          <w:color w:val="auto"/>
        </w:rPr>
        <w:t>flow</w:t>
      </w:r>
      <w:proofErr w:type="spellEnd"/>
      <w:r w:rsidRPr="003A5AA8">
        <w:rPr>
          <w:rFonts w:asciiTheme="minorHAnsi" w:hAnsiTheme="minorHAnsi"/>
          <w:i w:val="0"/>
          <w:color w:val="auto"/>
        </w:rPr>
        <w:t xml:space="preserve"> a tím pádem i bariérou pro využívání zásobníku. Lze tedy očekávat, že se zvýší ochota obchodníků využívat skladovací kapacity (zájem nových ukladatelů z řad menších obchodníků a zvýšení množství rezervované skladovací kapacity u stávajících).</w:t>
      </w:r>
    </w:p>
    <w:p w14:paraId="453C1472" w14:textId="77777777" w:rsidR="009076D7" w:rsidRPr="003A5AA8" w:rsidRDefault="009076D7" w:rsidP="00E83EDC">
      <w:pPr>
        <w:pStyle w:val="odpoved"/>
        <w:ind w:left="0"/>
        <w:rPr>
          <w:rFonts w:asciiTheme="minorHAnsi" w:hAnsiTheme="minorHAnsi"/>
          <w:i w:val="0"/>
          <w:color w:val="auto"/>
        </w:rPr>
      </w:pPr>
      <w:r w:rsidRPr="003A5AA8">
        <w:rPr>
          <w:rFonts w:asciiTheme="minorHAnsi" w:hAnsiTheme="minorHAnsi"/>
          <w:i w:val="0"/>
          <w:color w:val="auto"/>
        </w:rPr>
        <w:t xml:space="preserve">Zvýšení užitné hodnoty zásobníku, ke kterému by navrhovanou změnou modelu trhu s plynem došlo, by motivovalo ukladatele k využívání zásobníků. Ve svém důsledku by to do budoucna znamenalo vyšší zájem o skladování na území ČR a pro české zákazníky, větší pravděpodobnost prodeje celé kapacity v zásobníku a zároveň její aktivní využívání. Pokud by došlo k vyhlášení stavu nouze, pak je plyn v zásobníku na území ČR možné jednoduše využít pro potřeby české plynárenské soustavy a zásobení koncových zákazníků. Prodaná a komerčně využívaná skladovací kapacita tak má přímý dopad na kvalitu zabezpečení dodávek plynu v ČR. </w:t>
      </w:r>
    </w:p>
    <w:p w14:paraId="2AA6353A" w14:textId="4554B9A0" w:rsidR="00440B60" w:rsidRPr="003A5AA8" w:rsidRDefault="00440B60" w:rsidP="00E83EDC">
      <w:pPr>
        <w:pStyle w:val="Nadpis1"/>
      </w:pPr>
      <w:bookmarkStart w:id="10" w:name="_Toc477323759"/>
      <w:r w:rsidRPr="003A5AA8">
        <w:t>Dopady pokročilé virtualizace na jednotlivé účastníky trhu s plynem</w:t>
      </w:r>
      <w:bookmarkEnd w:id="10"/>
    </w:p>
    <w:p w14:paraId="38907E4B" w14:textId="205713C9" w:rsidR="0092539A" w:rsidRDefault="0092539A" w:rsidP="0092539A">
      <w:pPr>
        <w:pStyle w:val="odpoved"/>
        <w:spacing w:after="0"/>
        <w:ind w:left="0"/>
        <w:contextualSpacing w:val="0"/>
        <w:rPr>
          <w:rFonts w:asciiTheme="minorHAnsi" w:hAnsiTheme="minorHAnsi"/>
          <w:i w:val="0"/>
          <w:color w:val="auto"/>
        </w:rPr>
      </w:pPr>
      <w:r w:rsidRPr="003A5AA8">
        <w:rPr>
          <w:rFonts w:asciiTheme="minorHAnsi" w:hAnsiTheme="minorHAnsi"/>
          <w:i w:val="0"/>
          <w:color w:val="auto"/>
        </w:rPr>
        <w:t>Identifikovali jsme následující skupiny: TSO, SSO, OTE, obchodníci (domácí i zahraniční), spotřebitelé, případně DSO (v závislosti na způsobu výběru výnosů TSO)</w:t>
      </w:r>
      <w:r>
        <w:rPr>
          <w:rFonts w:asciiTheme="minorHAnsi" w:hAnsiTheme="minorHAnsi"/>
          <w:i w:val="0"/>
          <w:color w:val="auto"/>
        </w:rPr>
        <w:t>.</w:t>
      </w:r>
    </w:p>
    <w:p w14:paraId="54127401" w14:textId="1A49E807" w:rsidR="00FF50F2" w:rsidRPr="003A5AA8" w:rsidRDefault="00F04D83" w:rsidP="0092539A">
      <w:pPr>
        <w:pStyle w:val="odpoved"/>
        <w:spacing w:after="0"/>
        <w:ind w:left="0"/>
        <w:contextualSpacing w:val="0"/>
        <w:rPr>
          <w:rFonts w:asciiTheme="minorHAnsi" w:hAnsiTheme="minorHAnsi"/>
          <w:i w:val="0"/>
          <w:color w:val="auto"/>
        </w:rPr>
      </w:pPr>
      <w:r w:rsidRPr="003A5AA8">
        <w:rPr>
          <w:rFonts w:asciiTheme="minorHAnsi" w:hAnsiTheme="minorHAnsi"/>
          <w:i w:val="0"/>
          <w:color w:val="auto"/>
        </w:rPr>
        <w:t>Pro všechny identifikované účastníky trhu s plynem vyhodnoťte dopady v členění po jednotlivých účastnících trhu s plynem. Pro každého účastníka trhu (v rámci identifikované skupiny) s plynem proveďte CBA a SWOT analýzu návrhu.</w:t>
      </w:r>
    </w:p>
    <w:p w14:paraId="62F921D7" w14:textId="35EC147C" w:rsidR="0014719F" w:rsidRPr="003A5AA8" w:rsidRDefault="00FE4012" w:rsidP="00E83EDC">
      <w:pPr>
        <w:pStyle w:val="odpoved"/>
        <w:spacing w:after="0"/>
        <w:ind w:left="0"/>
        <w:contextualSpacing w:val="0"/>
        <w:rPr>
          <w:rFonts w:asciiTheme="minorHAnsi" w:hAnsiTheme="minorHAnsi"/>
          <w:i w:val="0"/>
          <w:color w:val="auto"/>
        </w:rPr>
      </w:pPr>
      <w:r w:rsidRPr="003A5AA8">
        <w:rPr>
          <w:rFonts w:asciiTheme="minorHAnsi" w:hAnsiTheme="minorHAnsi"/>
          <w:i w:val="0"/>
          <w:color w:val="auto"/>
        </w:rPr>
        <w:t>Dopad na jednotlivé skupiny jsme analyzovali zvlášť, SWOT analýza je vytvořena napříč všemi skupinami, protože dopad na jednotlivé skupiny je až na výjimky podobný.</w:t>
      </w:r>
    </w:p>
    <w:p w14:paraId="704CE635" w14:textId="4470D365" w:rsidR="001A74CC" w:rsidRPr="003A5AA8" w:rsidRDefault="00E83EDC" w:rsidP="00E83EDC">
      <w:pPr>
        <w:pStyle w:val="odpoved"/>
        <w:keepNext/>
        <w:spacing w:before="120" w:after="0"/>
        <w:ind w:left="0"/>
        <w:contextualSpacing w:val="0"/>
        <w:rPr>
          <w:rFonts w:asciiTheme="minorHAnsi" w:hAnsiTheme="minorHAnsi"/>
          <w:b/>
          <w:i w:val="0"/>
          <w:color w:val="auto"/>
        </w:rPr>
      </w:pPr>
      <w:r>
        <w:rPr>
          <w:rFonts w:asciiTheme="minorHAnsi" w:hAnsiTheme="minorHAnsi"/>
          <w:b/>
          <w:i w:val="0"/>
          <w:color w:val="auto"/>
        </w:rPr>
        <w:t>Dopad na TSO</w:t>
      </w:r>
    </w:p>
    <w:p w14:paraId="51287D48" w14:textId="13321348" w:rsidR="001A74CC" w:rsidRPr="003A5AA8" w:rsidRDefault="001A74CC" w:rsidP="00E83EDC">
      <w:pPr>
        <w:pStyle w:val="odpoved"/>
        <w:spacing w:after="0"/>
        <w:ind w:left="0"/>
        <w:contextualSpacing w:val="0"/>
        <w:rPr>
          <w:rFonts w:asciiTheme="minorHAnsi" w:hAnsiTheme="minorHAnsi"/>
          <w:i w:val="0"/>
          <w:color w:val="auto"/>
        </w:rPr>
      </w:pPr>
      <w:r w:rsidRPr="003A5AA8">
        <w:rPr>
          <w:rFonts w:asciiTheme="minorHAnsi" w:hAnsiTheme="minorHAnsi"/>
          <w:i w:val="0"/>
          <w:color w:val="auto"/>
        </w:rPr>
        <w:t xml:space="preserve">Pro TSO by </w:t>
      </w:r>
      <w:r w:rsidR="007073F2" w:rsidRPr="003A5AA8">
        <w:rPr>
          <w:rFonts w:asciiTheme="minorHAnsi" w:hAnsiTheme="minorHAnsi"/>
          <w:i w:val="0"/>
          <w:color w:val="auto"/>
        </w:rPr>
        <w:t>změna znamena</w:t>
      </w:r>
      <w:r w:rsidR="00F21E67">
        <w:rPr>
          <w:rFonts w:asciiTheme="minorHAnsi" w:hAnsiTheme="minorHAnsi"/>
          <w:i w:val="0"/>
          <w:color w:val="auto"/>
        </w:rPr>
        <w:t>la dopad na vztah s SSO</w:t>
      </w:r>
      <w:r w:rsidR="003462C1" w:rsidRPr="003A5AA8">
        <w:rPr>
          <w:rFonts w:asciiTheme="minorHAnsi" w:hAnsiTheme="minorHAnsi"/>
          <w:i w:val="0"/>
          <w:color w:val="auto"/>
        </w:rPr>
        <w:t xml:space="preserve">. Upravit by se musely otázky předávání plynu a toku informací ohledně nominování závazků těžby a vtláčení na virtuálním obchodním bodě. </w:t>
      </w:r>
      <w:r w:rsidR="007073F2" w:rsidRPr="003A5AA8">
        <w:rPr>
          <w:rFonts w:asciiTheme="minorHAnsi" w:hAnsiTheme="minorHAnsi"/>
          <w:i w:val="0"/>
          <w:color w:val="auto"/>
        </w:rPr>
        <w:t>Konkrétně by</w:t>
      </w:r>
      <w:r w:rsidR="003462C1" w:rsidRPr="003A5AA8">
        <w:rPr>
          <w:rFonts w:asciiTheme="minorHAnsi" w:hAnsiTheme="minorHAnsi"/>
          <w:i w:val="0"/>
          <w:color w:val="auto"/>
        </w:rPr>
        <w:t xml:space="preserve"> SSO informoval</w:t>
      </w:r>
      <w:r w:rsidRPr="003A5AA8">
        <w:rPr>
          <w:rFonts w:asciiTheme="minorHAnsi" w:hAnsiTheme="minorHAnsi"/>
          <w:i w:val="0"/>
          <w:color w:val="auto"/>
        </w:rPr>
        <w:t xml:space="preserve"> TSO </w:t>
      </w:r>
      <w:r w:rsidR="003462C1" w:rsidRPr="003A5AA8">
        <w:rPr>
          <w:rFonts w:asciiTheme="minorHAnsi" w:hAnsiTheme="minorHAnsi"/>
          <w:i w:val="0"/>
          <w:color w:val="auto"/>
        </w:rPr>
        <w:t xml:space="preserve">o rezervacích, </w:t>
      </w:r>
      <w:r w:rsidRPr="003A5AA8">
        <w:rPr>
          <w:rFonts w:asciiTheme="minorHAnsi" w:hAnsiTheme="minorHAnsi"/>
          <w:i w:val="0"/>
          <w:color w:val="auto"/>
        </w:rPr>
        <w:t>nominac</w:t>
      </w:r>
      <w:r w:rsidR="003462C1" w:rsidRPr="003A5AA8">
        <w:rPr>
          <w:rFonts w:asciiTheme="minorHAnsi" w:hAnsiTheme="minorHAnsi"/>
          <w:i w:val="0"/>
          <w:color w:val="auto"/>
        </w:rPr>
        <w:t>ích</w:t>
      </w:r>
      <w:r w:rsidRPr="003A5AA8">
        <w:rPr>
          <w:rFonts w:asciiTheme="minorHAnsi" w:hAnsiTheme="minorHAnsi"/>
          <w:i w:val="0"/>
          <w:color w:val="auto"/>
        </w:rPr>
        <w:t xml:space="preserve"> </w:t>
      </w:r>
      <w:r w:rsidR="0014719F" w:rsidRPr="003A5AA8">
        <w:rPr>
          <w:rFonts w:asciiTheme="minorHAnsi" w:hAnsiTheme="minorHAnsi"/>
          <w:i w:val="0"/>
          <w:color w:val="auto"/>
        </w:rPr>
        <w:t xml:space="preserve">a </w:t>
      </w:r>
      <w:proofErr w:type="spellStart"/>
      <w:r w:rsidR="0014719F" w:rsidRPr="003A5AA8">
        <w:rPr>
          <w:rFonts w:asciiTheme="minorHAnsi" w:hAnsiTheme="minorHAnsi"/>
          <w:i w:val="0"/>
          <w:color w:val="auto"/>
        </w:rPr>
        <w:t>renominac</w:t>
      </w:r>
      <w:r w:rsidR="003462C1" w:rsidRPr="003A5AA8">
        <w:rPr>
          <w:rFonts w:asciiTheme="minorHAnsi" w:hAnsiTheme="minorHAnsi"/>
          <w:i w:val="0"/>
          <w:color w:val="auto"/>
        </w:rPr>
        <w:t>ích</w:t>
      </w:r>
      <w:proofErr w:type="spellEnd"/>
      <w:r w:rsidR="003462C1" w:rsidRPr="003A5AA8">
        <w:rPr>
          <w:rFonts w:asciiTheme="minorHAnsi" w:hAnsiTheme="minorHAnsi"/>
          <w:i w:val="0"/>
          <w:color w:val="auto"/>
        </w:rPr>
        <w:t xml:space="preserve"> </w:t>
      </w:r>
      <w:r w:rsidRPr="003A5AA8">
        <w:rPr>
          <w:rFonts w:asciiTheme="minorHAnsi" w:hAnsiTheme="minorHAnsi"/>
          <w:i w:val="0"/>
          <w:color w:val="auto"/>
        </w:rPr>
        <w:t>těžby a vtláčení skladovatelů</w:t>
      </w:r>
      <w:r w:rsidR="007073F2" w:rsidRPr="003A5AA8">
        <w:rPr>
          <w:rFonts w:asciiTheme="minorHAnsi" w:hAnsiTheme="minorHAnsi"/>
          <w:i w:val="0"/>
          <w:color w:val="auto"/>
        </w:rPr>
        <w:t xml:space="preserve">, ovšem </w:t>
      </w:r>
      <w:proofErr w:type="spellStart"/>
      <w:r w:rsidR="007073F2" w:rsidRPr="003A5AA8">
        <w:rPr>
          <w:rFonts w:asciiTheme="minorHAnsi" w:hAnsiTheme="minorHAnsi"/>
          <w:i w:val="0"/>
          <w:color w:val="auto"/>
        </w:rPr>
        <w:t>agregovaně</w:t>
      </w:r>
      <w:proofErr w:type="spellEnd"/>
      <w:r w:rsidR="007073F2" w:rsidRPr="003A5AA8">
        <w:rPr>
          <w:rFonts w:asciiTheme="minorHAnsi" w:hAnsiTheme="minorHAnsi"/>
          <w:i w:val="0"/>
          <w:color w:val="auto"/>
        </w:rPr>
        <w:t xml:space="preserve"> za </w:t>
      </w:r>
      <w:r w:rsidR="0014719F" w:rsidRPr="003A5AA8">
        <w:rPr>
          <w:rFonts w:asciiTheme="minorHAnsi" w:hAnsiTheme="minorHAnsi"/>
          <w:i w:val="0"/>
          <w:color w:val="auto"/>
        </w:rPr>
        <w:t>výslednou pozici jednotliv</w:t>
      </w:r>
      <w:r w:rsidR="003462C1" w:rsidRPr="003A5AA8">
        <w:rPr>
          <w:rFonts w:asciiTheme="minorHAnsi" w:hAnsiTheme="minorHAnsi"/>
          <w:i w:val="0"/>
          <w:color w:val="auto"/>
        </w:rPr>
        <w:t>ého</w:t>
      </w:r>
      <w:r w:rsidR="0014719F" w:rsidRPr="003A5AA8">
        <w:rPr>
          <w:rFonts w:asciiTheme="minorHAnsi" w:hAnsiTheme="minorHAnsi"/>
          <w:i w:val="0"/>
          <w:color w:val="auto"/>
        </w:rPr>
        <w:t xml:space="preserve"> SSO</w:t>
      </w:r>
      <w:r w:rsidRPr="003A5AA8">
        <w:rPr>
          <w:rFonts w:asciiTheme="minorHAnsi" w:hAnsiTheme="minorHAnsi"/>
          <w:i w:val="0"/>
          <w:color w:val="auto"/>
        </w:rPr>
        <w:t xml:space="preserve">. </w:t>
      </w:r>
      <w:r w:rsidR="007073F2" w:rsidRPr="003A5AA8">
        <w:rPr>
          <w:rFonts w:asciiTheme="minorHAnsi" w:hAnsiTheme="minorHAnsi"/>
          <w:i w:val="0"/>
          <w:color w:val="auto"/>
        </w:rPr>
        <w:t>Současně by bylo nutné upravit vztah mezi TSO a SSO ve smyslu zohlednění možných odstávek TSO do vztahu SSO – skladovatel.</w:t>
      </w:r>
    </w:p>
    <w:p w14:paraId="5810C1A6" w14:textId="23CCFEF9" w:rsidR="001A74CC" w:rsidRPr="003A5AA8" w:rsidRDefault="003462C1" w:rsidP="00E83EDC">
      <w:pPr>
        <w:pStyle w:val="odpoved"/>
        <w:spacing w:after="0"/>
        <w:ind w:left="0"/>
        <w:contextualSpacing w:val="0"/>
        <w:rPr>
          <w:rFonts w:asciiTheme="minorHAnsi" w:hAnsiTheme="minorHAnsi"/>
          <w:i w:val="0"/>
          <w:color w:val="auto"/>
        </w:rPr>
      </w:pPr>
      <w:r w:rsidRPr="003A5AA8">
        <w:rPr>
          <w:rFonts w:asciiTheme="minorHAnsi" w:hAnsiTheme="minorHAnsi"/>
          <w:i w:val="0"/>
          <w:color w:val="auto"/>
        </w:rPr>
        <w:t xml:space="preserve">Protože je návrh koncipován pro </w:t>
      </w:r>
      <w:r w:rsidR="001A74CC" w:rsidRPr="003A5AA8">
        <w:rPr>
          <w:rFonts w:asciiTheme="minorHAnsi" w:hAnsiTheme="minorHAnsi"/>
          <w:i w:val="0"/>
          <w:color w:val="auto"/>
        </w:rPr>
        <w:t xml:space="preserve">TSO </w:t>
      </w:r>
      <w:r w:rsidRPr="003A5AA8">
        <w:rPr>
          <w:rFonts w:asciiTheme="minorHAnsi" w:hAnsiTheme="minorHAnsi"/>
          <w:i w:val="0"/>
          <w:color w:val="auto"/>
        </w:rPr>
        <w:t>jako výnosově neutrální, neměl by být žádný negativní ani pozitivní výnosový dopad na TSO. Předpokládáme, že</w:t>
      </w:r>
      <w:r w:rsidR="001A74CC" w:rsidRPr="003A5AA8">
        <w:rPr>
          <w:rFonts w:asciiTheme="minorHAnsi" w:hAnsiTheme="minorHAnsi"/>
          <w:i w:val="0"/>
          <w:color w:val="auto"/>
        </w:rPr>
        <w:t xml:space="preserve"> </w:t>
      </w:r>
      <w:r w:rsidR="00EB668B" w:rsidRPr="003A5AA8">
        <w:rPr>
          <w:rFonts w:asciiTheme="minorHAnsi" w:hAnsiTheme="minorHAnsi"/>
          <w:i w:val="0"/>
          <w:color w:val="auto"/>
        </w:rPr>
        <w:t xml:space="preserve">teoretický </w:t>
      </w:r>
      <w:r w:rsidR="001A74CC" w:rsidRPr="003A5AA8">
        <w:rPr>
          <w:rFonts w:asciiTheme="minorHAnsi" w:hAnsiTheme="minorHAnsi"/>
          <w:i w:val="0"/>
          <w:color w:val="auto"/>
        </w:rPr>
        <w:t xml:space="preserve">výpadek výnosů z přepravy z/do </w:t>
      </w:r>
      <w:r w:rsidR="001A74CC" w:rsidRPr="003A5AA8">
        <w:rPr>
          <w:rFonts w:asciiTheme="minorHAnsi" w:hAnsiTheme="minorHAnsi"/>
          <w:i w:val="0"/>
          <w:color w:val="auto"/>
        </w:rPr>
        <w:lastRenderedPageBreak/>
        <w:t>virtuálního zásobníku bude ve stejné výši nahrazen výnosy ze vstupu na hraničním bodě nebo navýšením výnosů na domácím bodě nebo jejich kombinací</w:t>
      </w:r>
      <w:r w:rsidRPr="003A5AA8">
        <w:rPr>
          <w:rFonts w:asciiTheme="minorHAnsi" w:hAnsiTheme="minorHAnsi"/>
          <w:i w:val="0"/>
          <w:color w:val="auto"/>
        </w:rPr>
        <w:t xml:space="preserve">, jak popisujeme </w:t>
      </w:r>
      <w:r w:rsidR="00F21E67">
        <w:rPr>
          <w:rFonts w:asciiTheme="minorHAnsi" w:hAnsiTheme="minorHAnsi"/>
          <w:i w:val="0"/>
          <w:color w:val="auto"/>
        </w:rPr>
        <w:t>výše</w:t>
      </w:r>
      <w:r w:rsidR="001A74CC" w:rsidRPr="003A5AA8">
        <w:rPr>
          <w:rFonts w:asciiTheme="minorHAnsi" w:hAnsiTheme="minorHAnsi"/>
          <w:i w:val="0"/>
          <w:color w:val="auto"/>
        </w:rPr>
        <w:t>.</w:t>
      </w:r>
    </w:p>
    <w:p w14:paraId="152CAAED" w14:textId="0F5E5D9C" w:rsidR="001A74CC" w:rsidRPr="003A5AA8" w:rsidRDefault="00E83EDC" w:rsidP="00E83EDC">
      <w:pPr>
        <w:pStyle w:val="odpoved"/>
        <w:keepNext/>
        <w:spacing w:before="120" w:after="0"/>
        <w:ind w:left="0"/>
        <w:contextualSpacing w:val="0"/>
        <w:rPr>
          <w:rFonts w:asciiTheme="minorHAnsi" w:hAnsiTheme="minorHAnsi"/>
          <w:b/>
          <w:i w:val="0"/>
          <w:color w:val="auto"/>
        </w:rPr>
      </w:pPr>
      <w:r>
        <w:rPr>
          <w:rFonts w:asciiTheme="minorHAnsi" w:hAnsiTheme="minorHAnsi"/>
          <w:b/>
          <w:i w:val="0"/>
          <w:color w:val="auto"/>
        </w:rPr>
        <w:t>Dopad na SSO</w:t>
      </w:r>
    </w:p>
    <w:p w14:paraId="6DA5FAC5" w14:textId="52575682" w:rsidR="001A74CC" w:rsidRPr="003A5AA8" w:rsidRDefault="001A74CC" w:rsidP="00E83EDC">
      <w:pPr>
        <w:pStyle w:val="odpoved"/>
        <w:spacing w:after="0"/>
        <w:ind w:left="0"/>
        <w:contextualSpacing w:val="0"/>
        <w:rPr>
          <w:rFonts w:asciiTheme="minorHAnsi" w:hAnsiTheme="minorHAnsi"/>
          <w:i w:val="0"/>
          <w:color w:val="auto"/>
        </w:rPr>
      </w:pPr>
      <w:r w:rsidRPr="003A5AA8">
        <w:rPr>
          <w:rFonts w:asciiTheme="minorHAnsi" w:hAnsiTheme="minorHAnsi"/>
          <w:i w:val="0"/>
          <w:color w:val="auto"/>
        </w:rPr>
        <w:t xml:space="preserve">Pro jednotlivé SSO </w:t>
      </w:r>
      <w:r w:rsidR="009E2DE3" w:rsidRPr="003A5AA8">
        <w:rPr>
          <w:rFonts w:asciiTheme="minorHAnsi" w:hAnsiTheme="minorHAnsi"/>
          <w:i w:val="0"/>
          <w:color w:val="auto"/>
        </w:rPr>
        <w:t xml:space="preserve">by </w:t>
      </w:r>
      <w:r w:rsidRPr="003A5AA8">
        <w:rPr>
          <w:rFonts w:asciiTheme="minorHAnsi" w:hAnsiTheme="minorHAnsi"/>
          <w:i w:val="0"/>
          <w:color w:val="auto"/>
        </w:rPr>
        <w:t xml:space="preserve">navrhovaná úprava na </w:t>
      </w:r>
      <w:r w:rsidR="00CA098E">
        <w:rPr>
          <w:rFonts w:asciiTheme="minorHAnsi" w:hAnsiTheme="minorHAnsi"/>
          <w:i w:val="0"/>
          <w:color w:val="auto"/>
        </w:rPr>
        <w:t>pokročilou</w:t>
      </w:r>
      <w:r w:rsidR="0014719F" w:rsidRPr="003A5AA8">
        <w:rPr>
          <w:rFonts w:asciiTheme="minorHAnsi" w:hAnsiTheme="minorHAnsi"/>
          <w:i w:val="0"/>
          <w:color w:val="auto"/>
        </w:rPr>
        <w:t xml:space="preserve"> </w:t>
      </w:r>
      <w:r w:rsidRPr="003A5AA8">
        <w:rPr>
          <w:rFonts w:asciiTheme="minorHAnsi" w:hAnsiTheme="minorHAnsi"/>
          <w:i w:val="0"/>
          <w:color w:val="auto"/>
        </w:rPr>
        <w:t xml:space="preserve">virtualizaci </w:t>
      </w:r>
      <w:r w:rsidR="0014719F" w:rsidRPr="003A5AA8">
        <w:rPr>
          <w:rFonts w:asciiTheme="minorHAnsi" w:hAnsiTheme="minorHAnsi"/>
          <w:i w:val="0"/>
          <w:color w:val="auto"/>
        </w:rPr>
        <w:t xml:space="preserve">přístupu k </w:t>
      </w:r>
      <w:r w:rsidRPr="003A5AA8">
        <w:rPr>
          <w:rFonts w:asciiTheme="minorHAnsi" w:hAnsiTheme="minorHAnsi"/>
          <w:i w:val="0"/>
          <w:color w:val="auto"/>
        </w:rPr>
        <w:t>PZP zna</w:t>
      </w:r>
      <w:r w:rsidR="00856292" w:rsidRPr="003A5AA8">
        <w:rPr>
          <w:rFonts w:asciiTheme="minorHAnsi" w:hAnsiTheme="minorHAnsi"/>
          <w:i w:val="0"/>
          <w:color w:val="auto"/>
        </w:rPr>
        <w:t>menala nové povinnosti vůči TSO</w:t>
      </w:r>
      <w:r w:rsidRPr="003A5AA8">
        <w:rPr>
          <w:rFonts w:asciiTheme="minorHAnsi" w:hAnsiTheme="minorHAnsi"/>
          <w:i w:val="0"/>
          <w:color w:val="auto"/>
        </w:rPr>
        <w:t xml:space="preserve"> </w:t>
      </w:r>
      <w:r w:rsidR="00856292" w:rsidRPr="003A5AA8">
        <w:rPr>
          <w:rFonts w:asciiTheme="minorHAnsi" w:hAnsiTheme="minorHAnsi"/>
          <w:i w:val="0"/>
          <w:color w:val="auto"/>
        </w:rPr>
        <w:t xml:space="preserve">a </w:t>
      </w:r>
      <w:r w:rsidRPr="003A5AA8">
        <w:rPr>
          <w:rFonts w:asciiTheme="minorHAnsi" w:hAnsiTheme="minorHAnsi"/>
          <w:i w:val="0"/>
          <w:color w:val="auto"/>
        </w:rPr>
        <w:t>OTE</w:t>
      </w:r>
      <w:r w:rsidR="009E2DE3" w:rsidRPr="003A5AA8">
        <w:rPr>
          <w:rFonts w:asciiTheme="minorHAnsi" w:hAnsiTheme="minorHAnsi"/>
          <w:i w:val="0"/>
          <w:color w:val="auto"/>
        </w:rPr>
        <w:t xml:space="preserve"> (viz. </w:t>
      </w:r>
      <w:proofErr w:type="gramStart"/>
      <w:r w:rsidR="009E2DE3" w:rsidRPr="003A5AA8">
        <w:rPr>
          <w:rFonts w:asciiTheme="minorHAnsi" w:hAnsiTheme="minorHAnsi"/>
          <w:i w:val="0"/>
          <w:color w:val="auto"/>
        </w:rPr>
        <w:t>příslušné</w:t>
      </w:r>
      <w:proofErr w:type="gramEnd"/>
      <w:r w:rsidR="009E2DE3" w:rsidRPr="003A5AA8">
        <w:rPr>
          <w:rFonts w:asciiTheme="minorHAnsi" w:hAnsiTheme="minorHAnsi"/>
          <w:i w:val="0"/>
          <w:color w:val="auto"/>
        </w:rPr>
        <w:t xml:space="preserve"> podkapitoly)</w:t>
      </w:r>
      <w:r w:rsidR="00EB668B" w:rsidRPr="003A5AA8">
        <w:rPr>
          <w:rFonts w:asciiTheme="minorHAnsi" w:hAnsiTheme="minorHAnsi"/>
          <w:i w:val="0"/>
          <w:color w:val="auto"/>
        </w:rPr>
        <w:t xml:space="preserve"> a úpravu administrace nominací a </w:t>
      </w:r>
      <w:proofErr w:type="spellStart"/>
      <w:r w:rsidR="00EB668B" w:rsidRPr="003A5AA8">
        <w:rPr>
          <w:rFonts w:asciiTheme="minorHAnsi" w:hAnsiTheme="minorHAnsi"/>
          <w:i w:val="0"/>
          <w:color w:val="auto"/>
        </w:rPr>
        <w:t>renominací</w:t>
      </w:r>
      <w:proofErr w:type="spellEnd"/>
      <w:r w:rsidR="00EB668B" w:rsidRPr="003A5AA8">
        <w:rPr>
          <w:rFonts w:asciiTheme="minorHAnsi" w:hAnsiTheme="minorHAnsi"/>
          <w:i w:val="0"/>
          <w:color w:val="auto"/>
        </w:rPr>
        <w:t xml:space="preserve"> jednotlivých skladovatelů, z důvodu jejich finální agregace vůči TSO</w:t>
      </w:r>
      <w:r w:rsidRPr="003A5AA8">
        <w:rPr>
          <w:rFonts w:asciiTheme="minorHAnsi" w:hAnsiTheme="minorHAnsi"/>
          <w:i w:val="0"/>
          <w:color w:val="auto"/>
        </w:rPr>
        <w:t>. Ve vztahu SSO a obchodník</w:t>
      </w:r>
      <w:r w:rsidR="00B74435" w:rsidRPr="003A5AA8">
        <w:rPr>
          <w:rFonts w:asciiTheme="minorHAnsi" w:hAnsiTheme="minorHAnsi"/>
          <w:i w:val="0"/>
          <w:color w:val="auto"/>
        </w:rPr>
        <w:t>/skladovatel</w:t>
      </w:r>
      <w:r w:rsidRPr="003A5AA8">
        <w:rPr>
          <w:rFonts w:asciiTheme="minorHAnsi" w:hAnsiTheme="minorHAnsi"/>
          <w:i w:val="0"/>
          <w:color w:val="auto"/>
        </w:rPr>
        <w:t xml:space="preserve"> dojde v zásadě pouze k úpravě dodacího bodu a uznání navazujících důvodů k omezení dostupné kapacity</w:t>
      </w:r>
      <w:r w:rsidR="00B74435" w:rsidRPr="003A5AA8">
        <w:rPr>
          <w:rFonts w:asciiTheme="minorHAnsi" w:hAnsiTheme="minorHAnsi"/>
          <w:i w:val="0"/>
          <w:color w:val="auto"/>
        </w:rPr>
        <w:t xml:space="preserve"> (přerušení z důvodu na straně TSO)</w:t>
      </w:r>
      <w:r w:rsidR="009E2DE3" w:rsidRPr="003A5AA8">
        <w:rPr>
          <w:rFonts w:asciiTheme="minorHAnsi" w:hAnsiTheme="minorHAnsi"/>
          <w:i w:val="0"/>
          <w:color w:val="auto"/>
        </w:rPr>
        <w:t>.</w:t>
      </w:r>
    </w:p>
    <w:p w14:paraId="7259B674" w14:textId="3239E52B" w:rsidR="001A74CC" w:rsidRPr="003A5AA8" w:rsidRDefault="001A74CC" w:rsidP="00E83EDC">
      <w:pPr>
        <w:pStyle w:val="odpoved"/>
        <w:keepNext/>
        <w:spacing w:before="120" w:after="0"/>
        <w:ind w:left="0"/>
        <w:contextualSpacing w:val="0"/>
        <w:rPr>
          <w:rFonts w:asciiTheme="minorHAnsi" w:hAnsiTheme="minorHAnsi"/>
          <w:b/>
          <w:i w:val="0"/>
          <w:color w:val="auto"/>
        </w:rPr>
      </w:pPr>
      <w:r w:rsidRPr="003A5AA8">
        <w:rPr>
          <w:rFonts w:asciiTheme="minorHAnsi" w:hAnsiTheme="minorHAnsi"/>
          <w:b/>
          <w:i w:val="0"/>
          <w:color w:val="auto"/>
        </w:rPr>
        <w:t>Dopad na OTE</w:t>
      </w:r>
    </w:p>
    <w:p w14:paraId="76B97E8B" w14:textId="77777777" w:rsidR="001A74CC" w:rsidRPr="003A5AA8" w:rsidRDefault="001A74CC" w:rsidP="00E83EDC">
      <w:pPr>
        <w:pStyle w:val="odpoved"/>
        <w:spacing w:after="0"/>
        <w:ind w:left="0"/>
        <w:contextualSpacing w:val="0"/>
        <w:rPr>
          <w:rFonts w:asciiTheme="minorHAnsi" w:hAnsiTheme="minorHAnsi"/>
          <w:i w:val="0"/>
          <w:color w:val="auto"/>
        </w:rPr>
      </w:pPr>
      <w:r w:rsidRPr="003A5AA8">
        <w:rPr>
          <w:rFonts w:asciiTheme="minorHAnsi" w:hAnsiTheme="minorHAnsi"/>
          <w:i w:val="0"/>
          <w:color w:val="auto"/>
        </w:rPr>
        <w:t>Pro OTE bude mít navrhovaná změna minimální dopad v souvislosti s cílem požadované změny v systému.</w:t>
      </w:r>
    </w:p>
    <w:p w14:paraId="453884D2" w14:textId="6B1EDDEC" w:rsidR="001A74CC" w:rsidRPr="003A5AA8" w:rsidRDefault="0010134F" w:rsidP="00E83EDC">
      <w:pPr>
        <w:pStyle w:val="odpoved"/>
        <w:spacing w:after="0"/>
        <w:ind w:left="0"/>
        <w:contextualSpacing w:val="0"/>
        <w:rPr>
          <w:rFonts w:asciiTheme="minorHAnsi" w:hAnsiTheme="minorHAnsi"/>
          <w:i w:val="0"/>
          <w:color w:val="auto"/>
        </w:rPr>
      </w:pPr>
      <w:r w:rsidRPr="003A5AA8">
        <w:rPr>
          <w:rFonts w:asciiTheme="minorHAnsi" w:hAnsiTheme="minorHAnsi"/>
          <w:i w:val="0"/>
          <w:color w:val="auto"/>
        </w:rPr>
        <w:t>V</w:t>
      </w:r>
      <w:r w:rsidR="00856292" w:rsidRPr="003A5AA8">
        <w:rPr>
          <w:rFonts w:asciiTheme="minorHAnsi" w:hAnsiTheme="minorHAnsi"/>
          <w:i w:val="0"/>
          <w:color w:val="auto"/>
        </w:rPr>
        <w:t>irtuální obchodní bod (VOB</w:t>
      </w:r>
      <w:r w:rsidR="001A74CC" w:rsidRPr="003A5AA8">
        <w:rPr>
          <w:rFonts w:asciiTheme="minorHAnsi" w:hAnsiTheme="minorHAnsi"/>
          <w:i w:val="0"/>
          <w:color w:val="auto"/>
        </w:rPr>
        <w:t>) by</w:t>
      </w:r>
      <w:r w:rsidRPr="003A5AA8">
        <w:rPr>
          <w:rFonts w:asciiTheme="minorHAnsi" w:hAnsiTheme="minorHAnsi"/>
          <w:i w:val="0"/>
          <w:color w:val="auto"/>
        </w:rPr>
        <w:t xml:space="preserve"> se stal</w:t>
      </w:r>
      <w:r w:rsidR="001A74CC" w:rsidRPr="003A5AA8">
        <w:rPr>
          <w:rFonts w:asciiTheme="minorHAnsi" w:hAnsiTheme="minorHAnsi"/>
          <w:i w:val="0"/>
          <w:color w:val="auto"/>
        </w:rPr>
        <w:t xml:space="preserve"> současně vstupně výstupním bodem virtuálního zásobníku plynu</w:t>
      </w:r>
      <w:r w:rsidR="00856292" w:rsidRPr="003A5AA8">
        <w:rPr>
          <w:rFonts w:asciiTheme="minorHAnsi" w:hAnsiTheme="minorHAnsi"/>
          <w:i w:val="0"/>
          <w:color w:val="auto"/>
        </w:rPr>
        <w:t>.</w:t>
      </w:r>
      <w:r w:rsidR="001A74CC" w:rsidRPr="003A5AA8">
        <w:rPr>
          <w:rFonts w:asciiTheme="minorHAnsi" w:hAnsiTheme="minorHAnsi"/>
          <w:i w:val="0"/>
          <w:color w:val="auto"/>
        </w:rPr>
        <w:t xml:space="preserve"> Změna by se dotkla pouze obchodníků majících smlouvu na uskladnění plynu s českými provozovateli zásobníků. V současné době OTE požaduje finanční zajištění exitové pozice obchodníků – např. dodávka koncovým zákazníkům, exit na hranicích, vtláčení do PZP a závazek dodat plyn.</w:t>
      </w:r>
      <w:r w:rsidR="00E30FA7" w:rsidRPr="003A5AA8">
        <w:rPr>
          <w:rFonts w:asciiTheme="minorHAnsi" w:hAnsiTheme="minorHAnsi"/>
          <w:i w:val="0"/>
          <w:color w:val="auto"/>
        </w:rPr>
        <w:t xml:space="preserve"> Opačné směry</w:t>
      </w:r>
      <w:r w:rsidRPr="003A5AA8">
        <w:rPr>
          <w:rFonts w:asciiTheme="minorHAnsi" w:hAnsiTheme="minorHAnsi"/>
          <w:i w:val="0"/>
          <w:color w:val="auto"/>
        </w:rPr>
        <w:t xml:space="preserve">, tj. závazky odebrat plyn na VOB a v některých případech i část nominací přepravy na </w:t>
      </w:r>
      <w:proofErr w:type="spellStart"/>
      <w:r w:rsidRPr="003A5AA8">
        <w:rPr>
          <w:rFonts w:asciiTheme="minorHAnsi" w:hAnsiTheme="minorHAnsi"/>
          <w:i w:val="0"/>
          <w:color w:val="auto"/>
        </w:rPr>
        <w:t>entry</w:t>
      </w:r>
      <w:proofErr w:type="spellEnd"/>
      <w:r w:rsidRPr="003A5AA8">
        <w:rPr>
          <w:rFonts w:asciiTheme="minorHAnsi" w:hAnsiTheme="minorHAnsi"/>
          <w:i w:val="0"/>
          <w:color w:val="auto"/>
        </w:rPr>
        <w:t xml:space="preserve"> HPS/ZP,</w:t>
      </w:r>
      <w:r w:rsidR="00E30FA7" w:rsidRPr="003A5AA8">
        <w:rPr>
          <w:rFonts w:asciiTheme="minorHAnsi" w:hAnsiTheme="minorHAnsi"/>
          <w:i w:val="0"/>
          <w:color w:val="auto"/>
        </w:rPr>
        <w:t xml:space="preserve"> naopak celkovou expozici snižují.</w:t>
      </w:r>
    </w:p>
    <w:p w14:paraId="244C3C8A" w14:textId="0ED5B555" w:rsidR="001A74CC" w:rsidRPr="003A5AA8" w:rsidRDefault="00CA098E" w:rsidP="00E83EDC">
      <w:pPr>
        <w:pStyle w:val="odpoved"/>
        <w:spacing w:after="0"/>
        <w:ind w:left="0"/>
        <w:contextualSpacing w:val="0"/>
        <w:rPr>
          <w:rFonts w:asciiTheme="minorHAnsi" w:hAnsiTheme="minorHAnsi"/>
          <w:i w:val="0"/>
          <w:color w:val="auto"/>
        </w:rPr>
      </w:pPr>
      <w:r>
        <w:rPr>
          <w:rFonts w:asciiTheme="minorHAnsi" w:hAnsiTheme="minorHAnsi"/>
          <w:i w:val="0"/>
          <w:color w:val="auto"/>
        </w:rPr>
        <w:t>Po implementaci pokročilé</w:t>
      </w:r>
      <w:r w:rsidR="001A74CC" w:rsidRPr="003A5AA8">
        <w:rPr>
          <w:rFonts w:asciiTheme="minorHAnsi" w:hAnsiTheme="minorHAnsi"/>
          <w:i w:val="0"/>
          <w:color w:val="auto"/>
        </w:rPr>
        <w:t xml:space="preserve"> virtualizace, by bylo </w:t>
      </w:r>
      <w:r w:rsidR="00ED40EA" w:rsidRPr="003A5AA8">
        <w:rPr>
          <w:rFonts w:asciiTheme="minorHAnsi" w:hAnsiTheme="minorHAnsi"/>
          <w:i w:val="0"/>
          <w:color w:val="auto"/>
        </w:rPr>
        <w:t xml:space="preserve">nutné </w:t>
      </w:r>
      <w:r w:rsidR="001A74CC" w:rsidRPr="003A5AA8">
        <w:rPr>
          <w:rFonts w:asciiTheme="minorHAnsi" w:hAnsiTheme="minorHAnsi"/>
          <w:i w:val="0"/>
          <w:color w:val="auto"/>
        </w:rPr>
        <w:t>zavést speciální typy nominací</w:t>
      </w:r>
      <w:r w:rsidR="00B74435" w:rsidRPr="003A5AA8">
        <w:rPr>
          <w:rFonts w:asciiTheme="minorHAnsi" w:hAnsiTheme="minorHAnsi"/>
          <w:i w:val="0"/>
          <w:color w:val="auto"/>
        </w:rPr>
        <w:t xml:space="preserve"> na virtuálním obchodním bodě</w:t>
      </w:r>
      <w:r w:rsidR="001A74CC" w:rsidRPr="003A5AA8">
        <w:rPr>
          <w:rFonts w:asciiTheme="minorHAnsi" w:hAnsiTheme="minorHAnsi"/>
          <w:i w:val="0"/>
          <w:color w:val="auto"/>
        </w:rPr>
        <w:t xml:space="preserve">, nazvané např. „závazek těžby“ a „závazek vtláčení“, kde by protistranou vždy byl SSO a OTE by za tyto nominace a </w:t>
      </w:r>
      <w:proofErr w:type="spellStart"/>
      <w:r w:rsidR="001A74CC" w:rsidRPr="003A5AA8">
        <w:rPr>
          <w:rFonts w:asciiTheme="minorHAnsi" w:hAnsiTheme="minorHAnsi"/>
          <w:i w:val="0"/>
          <w:color w:val="auto"/>
        </w:rPr>
        <w:t>renominace</w:t>
      </w:r>
      <w:proofErr w:type="spellEnd"/>
      <w:r w:rsidR="001A74CC" w:rsidRPr="003A5AA8">
        <w:rPr>
          <w:rFonts w:asciiTheme="minorHAnsi" w:hAnsiTheme="minorHAnsi"/>
          <w:i w:val="0"/>
          <w:color w:val="auto"/>
        </w:rPr>
        <w:t xml:space="preserve"> závazků požadoval stejné finanční zajištění a pracoval by s rizikovou expozicí stejně, jako </w:t>
      </w:r>
      <w:r w:rsidR="00EB668B" w:rsidRPr="003A5AA8">
        <w:rPr>
          <w:rFonts w:asciiTheme="minorHAnsi" w:hAnsiTheme="minorHAnsi"/>
          <w:i w:val="0"/>
          <w:color w:val="auto"/>
        </w:rPr>
        <w:t>v současnosti</w:t>
      </w:r>
      <w:r w:rsidR="001A74CC" w:rsidRPr="003A5AA8">
        <w:rPr>
          <w:rFonts w:asciiTheme="minorHAnsi" w:hAnsiTheme="minorHAnsi"/>
          <w:i w:val="0"/>
          <w:color w:val="auto"/>
        </w:rPr>
        <w:t xml:space="preserve"> pracuje s nominacemi a </w:t>
      </w:r>
      <w:proofErr w:type="spellStart"/>
      <w:r w:rsidR="001A74CC" w:rsidRPr="003A5AA8">
        <w:rPr>
          <w:rFonts w:asciiTheme="minorHAnsi" w:hAnsiTheme="minorHAnsi"/>
          <w:i w:val="0"/>
          <w:color w:val="auto"/>
        </w:rPr>
        <w:t>renominacemi</w:t>
      </w:r>
      <w:proofErr w:type="spellEnd"/>
      <w:r w:rsidR="001A74CC" w:rsidRPr="003A5AA8">
        <w:rPr>
          <w:rFonts w:asciiTheme="minorHAnsi" w:hAnsiTheme="minorHAnsi"/>
          <w:i w:val="0"/>
          <w:color w:val="auto"/>
        </w:rPr>
        <w:t xml:space="preserve"> přepravy pro body virtuálních zásobníků plynu.</w:t>
      </w:r>
      <w:r w:rsidR="00E30FA7" w:rsidRPr="003A5AA8">
        <w:rPr>
          <w:rFonts w:asciiTheme="minorHAnsi" w:hAnsiTheme="minorHAnsi"/>
          <w:i w:val="0"/>
          <w:color w:val="auto"/>
        </w:rPr>
        <w:t xml:space="preserve"> Dopad by tedy byl </w:t>
      </w:r>
      <w:r w:rsidR="00B74435" w:rsidRPr="003A5AA8">
        <w:rPr>
          <w:rFonts w:asciiTheme="minorHAnsi" w:hAnsiTheme="minorHAnsi"/>
          <w:i w:val="0"/>
          <w:color w:val="auto"/>
        </w:rPr>
        <w:t xml:space="preserve">pro OTE i obchodníky </w:t>
      </w:r>
      <w:r w:rsidR="00E30FA7" w:rsidRPr="003A5AA8">
        <w:rPr>
          <w:rFonts w:asciiTheme="minorHAnsi" w:hAnsiTheme="minorHAnsi"/>
          <w:i w:val="0"/>
          <w:color w:val="auto"/>
        </w:rPr>
        <w:t>neutrální.</w:t>
      </w:r>
    </w:p>
    <w:p w14:paraId="79E807C7" w14:textId="77777777" w:rsidR="001A74CC" w:rsidRPr="003A5AA8" w:rsidRDefault="001A74CC" w:rsidP="00E83EDC">
      <w:pPr>
        <w:pStyle w:val="odpoved"/>
        <w:keepNext/>
        <w:spacing w:before="120" w:after="0"/>
        <w:ind w:left="0"/>
        <w:contextualSpacing w:val="0"/>
        <w:rPr>
          <w:rFonts w:asciiTheme="minorHAnsi" w:hAnsiTheme="minorHAnsi"/>
          <w:b/>
          <w:i w:val="0"/>
          <w:color w:val="auto"/>
        </w:rPr>
      </w:pPr>
      <w:r w:rsidRPr="003A5AA8">
        <w:rPr>
          <w:rFonts w:asciiTheme="minorHAnsi" w:hAnsiTheme="minorHAnsi"/>
          <w:b/>
          <w:i w:val="0"/>
          <w:color w:val="auto"/>
        </w:rPr>
        <w:t>Dopad na obchodníky (domácí)</w:t>
      </w:r>
    </w:p>
    <w:p w14:paraId="557F484A" w14:textId="31F9BB02" w:rsidR="001A74CC" w:rsidRPr="003A5AA8" w:rsidRDefault="001A74CC" w:rsidP="00E83EDC">
      <w:pPr>
        <w:pStyle w:val="odpoved"/>
        <w:spacing w:after="0"/>
        <w:ind w:left="0"/>
        <w:contextualSpacing w:val="0"/>
        <w:rPr>
          <w:rFonts w:asciiTheme="minorHAnsi" w:hAnsiTheme="minorHAnsi"/>
          <w:i w:val="0"/>
          <w:color w:val="auto"/>
        </w:rPr>
      </w:pPr>
      <w:r w:rsidRPr="003A5AA8">
        <w:rPr>
          <w:rFonts w:asciiTheme="minorHAnsi" w:hAnsiTheme="minorHAnsi"/>
          <w:i w:val="0"/>
          <w:color w:val="auto"/>
        </w:rPr>
        <w:t>Obchodníci uskladňující plyn v ČR budou navrhovanou změnou dotčeni zásadním způsobem. Nově navržené schéma umožní obchodníkům lépe a efektivněji využívat jejich skladovací smlouvy. V současné době jsou PZP obchodníky používány v převážné většině jako nástroj pro vyrovnání rozdílné poptávky spotřebitelů po plynu v letním a zimním období, tzv. využívají „vnitřní“ hodnotu zásobníku (</w:t>
      </w:r>
      <w:proofErr w:type="spellStart"/>
      <w:r w:rsidRPr="003A5AA8">
        <w:rPr>
          <w:rFonts w:asciiTheme="minorHAnsi" w:hAnsiTheme="minorHAnsi"/>
          <w:i w:val="0"/>
          <w:color w:val="auto"/>
        </w:rPr>
        <w:t>intrinsic</w:t>
      </w:r>
      <w:proofErr w:type="spellEnd"/>
      <w:r w:rsidRPr="003A5AA8">
        <w:rPr>
          <w:rFonts w:asciiTheme="minorHAnsi" w:hAnsiTheme="minorHAnsi"/>
          <w:i w:val="0"/>
          <w:color w:val="auto"/>
        </w:rPr>
        <w:t xml:space="preserve"> </w:t>
      </w:r>
      <w:proofErr w:type="spellStart"/>
      <w:r w:rsidRPr="003A5AA8">
        <w:rPr>
          <w:rFonts w:asciiTheme="minorHAnsi" w:hAnsiTheme="minorHAnsi"/>
          <w:i w:val="0"/>
          <w:color w:val="auto"/>
        </w:rPr>
        <w:t>value</w:t>
      </w:r>
      <w:proofErr w:type="spellEnd"/>
      <w:r w:rsidRPr="003A5AA8">
        <w:rPr>
          <w:rFonts w:asciiTheme="minorHAnsi" w:hAnsiTheme="minorHAnsi"/>
          <w:i w:val="0"/>
          <w:color w:val="auto"/>
        </w:rPr>
        <w:t xml:space="preserve">) a současně jako nástroj pro zajištění BSD tak, jak jim to ukládá česká legislativa. </w:t>
      </w:r>
      <w:r w:rsidR="00CA098E">
        <w:rPr>
          <w:rFonts w:asciiTheme="minorHAnsi" w:hAnsiTheme="minorHAnsi"/>
          <w:i w:val="0"/>
          <w:color w:val="auto"/>
        </w:rPr>
        <w:t>Pokročilou</w:t>
      </w:r>
      <w:r w:rsidR="0014719F" w:rsidRPr="003A5AA8">
        <w:rPr>
          <w:rFonts w:asciiTheme="minorHAnsi" w:hAnsiTheme="minorHAnsi"/>
          <w:i w:val="0"/>
          <w:color w:val="auto"/>
        </w:rPr>
        <w:t xml:space="preserve"> </w:t>
      </w:r>
      <w:proofErr w:type="spellStart"/>
      <w:r w:rsidR="0014719F" w:rsidRPr="003A5AA8">
        <w:rPr>
          <w:rFonts w:asciiTheme="minorHAnsi" w:hAnsiTheme="minorHAnsi"/>
          <w:i w:val="0"/>
          <w:color w:val="auto"/>
        </w:rPr>
        <w:t>v</w:t>
      </w:r>
      <w:r w:rsidRPr="003A5AA8">
        <w:rPr>
          <w:rFonts w:asciiTheme="minorHAnsi" w:hAnsiTheme="minorHAnsi"/>
          <w:i w:val="0"/>
          <w:color w:val="auto"/>
        </w:rPr>
        <w:t>irtualizací</w:t>
      </w:r>
      <w:proofErr w:type="spellEnd"/>
      <w:r w:rsidRPr="003A5AA8">
        <w:rPr>
          <w:rFonts w:asciiTheme="minorHAnsi" w:hAnsiTheme="minorHAnsi"/>
          <w:i w:val="0"/>
          <w:color w:val="auto"/>
        </w:rPr>
        <w:t xml:space="preserve"> PZP by se obchodníkům otevřel ve větší míře prostor pro využívání PZP pro jeho „vnější“ hodnotu (</w:t>
      </w:r>
      <w:proofErr w:type="spellStart"/>
      <w:r w:rsidRPr="003A5AA8">
        <w:rPr>
          <w:rFonts w:asciiTheme="minorHAnsi" w:hAnsiTheme="minorHAnsi"/>
          <w:i w:val="0"/>
          <w:color w:val="auto"/>
        </w:rPr>
        <w:t>extrinsic</w:t>
      </w:r>
      <w:proofErr w:type="spellEnd"/>
      <w:r w:rsidRPr="003A5AA8">
        <w:rPr>
          <w:rFonts w:asciiTheme="minorHAnsi" w:hAnsiTheme="minorHAnsi"/>
          <w:i w:val="0"/>
          <w:color w:val="auto"/>
        </w:rPr>
        <w:t xml:space="preserve"> </w:t>
      </w:r>
      <w:proofErr w:type="spellStart"/>
      <w:r w:rsidRPr="003A5AA8">
        <w:rPr>
          <w:rFonts w:asciiTheme="minorHAnsi" w:hAnsiTheme="minorHAnsi"/>
          <w:i w:val="0"/>
          <w:color w:val="auto"/>
        </w:rPr>
        <w:t>value</w:t>
      </w:r>
      <w:proofErr w:type="spellEnd"/>
      <w:r w:rsidRPr="003A5AA8">
        <w:rPr>
          <w:rFonts w:asciiTheme="minorHAnsi" w:hAnsiTheme="minorHAnsi"/>
          <w:i w:val="0"/>
          <w:color w:val="auto"/>
        </w:rPr>
        <w:t>). Tzn. využívání krátkodobých příležitostí při neočekáváných anomáliích na trhu s</w:t>
      </w:r>
      <w:r w:rsidR="00B74435" w:rsidRPr="003A5AA8">
        <w:rPr>
          <w:rFonts w:asciiTheme="minorHAnsi" w:hAnsiTheme="minorHAnsi"/>
          <w:i w:val="0"/>
          <w:color w:val="auto"/>
        </w:rPr>
        <w:t> </w:t>
      </w:r>
      <w:r w:rsidRPr="003A5AA8">
        <w:rPr>
          <w:rFonts w:asciiTheme="minorHAnsi" w:hAnsiTheme="minorHAnsi"/>
          <w:i w:val="0"/>
          <w:color w:val="auto"/>
        </w:rPr>
        <w:t>plynem</w:t>
      </w:r>
      <w:r w:rsidR="00B74435" w:rsidRPr="003A5AA8">
        <w:rPr>
          <w:rFonts w:asciiTheme="minorHAnsi" w:hAnsiTheme="minorHAnsi"/>
          <w:i w:val="0"/>
          <w:color w:val="auto"/>
        </w:rPr>
        <w:t xml:space="preserve"> včetně </w:t>
      </w:r>
      <w:proofErr w:type="spellStart"/>
      <w:r w:rsidR="00B74435" w:rsidRPr="003A5AA8">
        <w:rPr>
          <w:rFonts w:asciiTheme="minorHAnsi" w:hAnsiTheme="minorHAnsi"/>
          <w:i w:val="0"/>
          <w:color w:val="auto"/>
        </w:rPr>
        <w:t>mezidenního</w:t>
      </w:r>
      <w:proofErr w:type="spellEnd"/>
      <w:r w:rsidR="00B74435" w:rsidRPr="003A5AA8">
        <w:rPr>
          <w:rFonts w:asciiTheme="minorHAnsi" w:hAnsiTheme="minorHAnsi"/>
          <w:i w:val="0"/>
          <w:color w:val="auto"/>
        </w:rPr>
        <w:t xml:space="preserve"> nebo vnitrodenního bilancování</w:t>
      </w:r>
      <w:r w:rsidRPr="003A5AA8">
        <w:rPr>
          <w:rFonts w:asciiTheme="minorHAnsi" w:hAnsiTheme="minorHAnsi"/>
          <w:i w:val="0"/>
          <w:color w:val="auto"/>
        </w:rPr>
        <w:t xml:space="preserve"> </w:t>
      </w:r>
      <w:r w:rsidR="00B74435" w:rsidRPr="003A5AA8">
        <w:rPr>
          <w:rFonts w:asciiTheme="minorHAnsi" w:hAnsiTheme="minorHAnsi"/>
          <w:i w:val="0"/>
          <w:color w:val="auto"/>
        </w:rPr>
        <w:t xml:space="preserve">a </w:t>
      </w:r>
      <w:r w:rsidRPr="003A5AA8">
        <w:rPr>
          <w:rFonts w:asciiTheme="minorHAnsi" w:hAnsiTheme="minorHAnsi"/>
          <w:i w:val="0"/>
          <w:color w:val="auto"/>
        </w:rPr>
        <w:t>při řízení konkrétního zákaznického portfolia subjektu zúčtování.</w:t>
      </w:r>
    </w:p>
    <w:p w14:paraId="0F052769" w14:textId="6C271509" w:rsidR="001A74CC" w:rsidRPr="003A5AA8" w:rsidRDefault="001A74CC" w:rsidP="00E83EDC">
      <w:pPr>
        <w:pStyle w:val="odpoved"/>
        <w:spacing w:after="0"/>
        <w:ind w:left="0"/>
        <w:contextualSpacing w:val="0"/>
        <w:rPr>
          <w:rFonts w:asciiTheme="minorHAnsi" w:hAnsiTheme="minorHAnsi"/>
          <w:i w:val="0"/>
          <w:color w:val="auto"/>
        </w:rPr>
      </w:pPr>
      <w:r w:rsidRPr="003A5AA8">
        <w:rPr>
          <w:rFonts w:asciiTheme="minorHAnsi" w:hAnsiTheme="minorHAnsi"/>
          <w:i w:val="0"/>
          <w:color w:val="auto"/>
        </w:rPr>
        <w:t xml:space="preserve">Snahou nového modelu je </w:t>
      </w:r>
      <w:r w:rsidR="009E2DE3" w:rsidRPr="003A5AA8">
        <w:rPr>
          <w:rFonts w:asciiTheme="minorHAnsi" w:hAnsiTheme="minorHAnsi"/>
          <w:i w:val="0"/>
          <w:color w:val="auto"/>
        </w:rPr>
        <w:t xml:space="preserve">celkové </w:t>
      </w:r>
      <w:r w:rsidRPr="003A5AA8">
        <w:rPr>
          <w:rFonts w:asciiTheme="minorHAnsi" w:hAnsiTheme="minorHAnsi"/>
          <w:i w:val="0"/>
          <w:color w:val="auto"/>
        </w:rPr>
        <w:t xml:space="preserve">zjednodušení </w:t>
      </w:r>
      <w:r w:rsidR="00B74435" w:rsidRPr="003A5AA8">
        <w:rPr>
          <w:rFonts w:asciiTheme="minorHAnsi" w:hAnsiTheme="minorHAnsi"/>
          <w:i w:val="0"/>
          <w:color w:val="auto"/>
        </w:rPr>
        <w:t xml:space="preserve">aktivit obchodníků na trhu </w:t>
      </w:r>
      <w:r w:rsidRPr="003A5AA8">
        <w:rPr>
          <w:rFonts w:asciiTheme="minorHAnsi" w:hAnsiTheme="minorHAnsi"/>
          <w:i w:val="0"/>
          <w:color w:val="auto"/>
        </w:rPr>
        <w:t>a to tak, že bude obchodníkem podána pouze jedna nominace pro SSO, jež bude následně</w:t>
      </w:r>
      <w:r w:rsidR="009E2DE3" w:rsidRPr="003A5AA8">
        <w:rPr>
          <w:rFonts w:asciiTheme="minorHAnsi" w:hAnsiTheme="minorHAnsi"/>
          <w:i w:val="0"/>
          <w:color w:val="auto"/>
        </w:rPr>
        <w:t xml:space="preserve"> SSO</w:t>
      </w:r>
      <w:r w:rsidRPr="003A5AA8">
        <w:rPr>
          <w:rFonts w:asciiTheme="minorHAnsi" w:hAnsiTheme="minorHAnsi"/>
          <w:i w:val="0"/>
          <w:color w:val="auto"/>
        </w:rPr>
        <w:t xml:space="preserve"> komunikována </w:t>
      </w:r>
      <w:r w:rsidR="009E2DE3" w:rsidRPr="003A5AA8">
        <w:rPr>
          <w:rFonts w:asciiTheme="minorHAnsi" w:hAnsiTheme="minorHAnsi"/>
          <w:i w:val="0"/>
          <w:color w:val="auto"/>
        </w:rPr>
        <w:t>s</w:t>
      </w:r>
      <w:r w:rsidRPr="003A5AA8">
        <w:rPr>
          <w:rFonts w:asciiTheme="minorHAnsi" w:hAnsiTheme="minorHAnsi"/>
          <w:i w:val="0"/>
          <w:color w:val="auto"/>
        </w:rPr>
        <w:t xml:space="preserve"> TSO.</w:t>
      </w:r>
    </w:p>
    <w:p w14:paraId="53C5A988" w14:textId="325EDE00" w:rsidR="001A74CC" w:rsidRPr="003A5AA8" w:rsidRDefault="001A74CC" w:rsidP="00E83EDC">
      <w:pPr>
        <w:pStyle w:val="odpoved"/>
        <w:spacing w:after="0"/>
        <w:ind w:left="0"/>
        <w:contextualSpacing w:val="0"/>
        <w:rPr>
          <w:rFonts w:asciiTheme="minorHAnsi" w:hAnsiTheme="minorHAnsi"/>
          <w:i w:val="0"/>
          <w:color w:val="auto"/>
        </w:rPr>
      </w:pPr>
      <w:r w:rsidRPr="003A5AA8">
        <w:rPr>
          <w:rFonts w:asciiTheme="minorHAnsi" w:hAnsiTheme="minorHAnsi"/>
          <w:i w:val="0"/>
          <w:color w:val="auto"/>
        </w:rPr>
        <w:t xml:space="preserve">Změna by se dotkla aktuálně platných smluv na přepravu, které by měli obchodníci sjednány s TSO. V tomto případě by změna modelu trhu způsobila faktickou nemožnost plnění těchto smluv, čímž by se smlouvy staly neúčinné a </w:t>
      </w:r>
      <w:r w:rsidR="00B74435" w:rsidRPr="003A5AA8">
        <w:rPr>
          <w:rFonts w:asciiTheme="minorHAnsi" w:hAnsiTheme="minorHAnsi"/>
          <w:i w:val="0"/>
          <w:color w:val="auto"/>
        </w:rPr>
        <w:t>mělo by to vést</w:t>
      </w:r>
      <w:r w:rsidRPr="003A5AA8">
        <w:rPr>
          <w:rFonts w:asciiTheme="minorHAnsi" w:hAnsiTheme="minorHAnsi"/>
          <w:i w:val="0"/>
          <w:color w:val="auto"/>
        </w:rPr>
        <w:t xml:space="preserve"> k jejich zrušení. Jestliže u těchto smluv dochází k plnění a následné platbě v režimu regulovaných cen, nedochází u TSO k finanční újmě, protože chybějící výnosy budou alokovány adekvátním způsobem na jiné body soustavy.</w:t>
      </w:r>
    </w:p>
    <w:p w14:paraId="61059DB2" w14:textId="0C50B669" w:rsidR="001A74CC" w:rsidRPr="003A5AA8" w:rsidRDefault="001A74CC" w:rsidP="00E83EDC">
      <w:pPr>
        <w:pStyle w:val="odpoved"/>
        <w:spacing w:after="0"/>
        <w:ind w:left="0"/>
        <w:contextualSpacing w:val="0"/>
        <w:rPr>
          <w:rFonts w:asciiTheme="minorHAnsi" w:hAnsiTheme="minorHAnsi"/>
          <w:i w:val="0"/>
          <w:color w:val="auto"/>
        </w:rPr>
      </w:pPr>
      <w:r w:rsidRPr="003A5AA8">
        <w:rPr>
          <w:rFonts w:asciiTheme="minorHAnsi" w:hAnsiTheme="minorHAnsi"/>
          <w:i w:val="0"/>
          <w:color w:val="auto"/>
        </w:rPr>
        <w:t>Dále by obchodníci, kteří skladují plyn v ČR a současně nemají jiné přepravní smlouvy, nemuseli uzavírat žádnou smlouvu s TSO, stačila by jim pouze smlouva s SSO. Novým opatřením by se eliminovalo finanční zajištění vyžadované TSO</w:t>
      </w:r>
      <w:r w:rsidR="006971EE" w:rsidRPr="003A5AA8">
        <w:rPr>
          <w:rFonts w:asciiTheme="minorHAnsi" w:hAnsiTheme="minorHAnsi"/>
          <w:i w:val="0"/>
          <w:color w:val="auto"/>
        </w:rPr>
        <w:t xml:space="preserve"> pro přepravu do a z virtuálních zásobníků</w:t>
      </w:r>
      <w:r w:rsidRPr="003A5AA8">
        <w:rPr>
          <w:rFonts w:asciiTheme="minorHAnsi" w:hAnsiTheme="minorHAnsi"/>
          <w:i w:val="0"/>
          <w:color w:val="auto"/>
        </w:rPr>
        <w:t>.</w:t>
      </w:r>
    </w:p>
    <w:p w14:paraId="2F7FA6F5" w14:textId="12923089" w:rsidR="001A74CC" w:rsidRPr="003A5AA8" w:rsidRDefault="001A74CC" w:rsidP="00E83EDC">
      <w:pPr>
        <w:pStyle w:val="odpoved"/>
        <w:spacing w:after="0"/>
        <w:ind w:left="0"/>
        <w:contextualSpacing w:val="0"/>
        <w:rPr>
          <w:rFonts w:asciiTheme="minorHAnsi" w:hAnsiTheme="minorHAnsi"/>
          <w:i w:val="0"/>
          <w:color w:val="auto"/>
        </w:rPr>
      </w:pPr>
      <w:r w:rsidRPr="003A5AA8">
        <w:rPr>
          <w:rFonts w:asciiTheme="minorHAnsi" w:hAnsiTheme="minorHAnsi"/>
          <w:i w:val="0"/>
          <w:color w:val="auto"/>
        </w:rPr>
        <w:t xml:space="preserve">Dále by </w:t>
      </w:r>
      <w:r w:rsidR="00FE4012" w:rsidRPr="003A5AA8">
        <w:rPr>
          <w:rFonts w:asciiTheme="minorHAnsi" w:hAnsiTheme="minorHAnsi"/>
          <w:i w:val="0"/>
          <w:color w:val="auto"/>
        </w:rPr>
        <w:t xml:space="preserve">bylo třeba ošetřit nově vzniklé aspekty obchodního vztahu mezi </w:t>
      </w:r>
      <w:r w:rsidRPr="003A5AA8">
        <w:rPr>
          <w:rFonts w:asciiTheme="minorHAnsi" w:hAnsiTheme="minorHAnsi"/>
          <w:i w:val="0"/>
          <w:color w:val="auto"/>
        </w:rPr>
        <w:t>obchodní</w:t>
      </w:r>
      <w:r w:rsidR="00FE4012" w:rsidRPr="003A5AA8">
        <w:rPr>
          <w:rFonts w:asciiTheme="minorHAnsi" w:hAnsiTheme="minorHAnsi"/>
          <w:i w:val="0"/>
          <w:color w:val="auto"/>
        </w:rPr>
        <w:t>ky a</w:t>
      </w:r>
      <w:r w:rsidRPr="003A5AA8">
        <w:rPr>
          <w:rFonts w:asciiTheme="minorHAnsi" w:hAnsiTheme="minorHAnsi"/>
          <w:i w:val="0"/>
          <w:color w:val="auto"/>
        </w:rPr>
        <w:t xml:space="preserve"> SSO. Např. obchodníci budou muset souhlasit s krácením dostupného výkonu </w:t>
      </w:r>
      <w:r w:rsidR="009E2DE3" w:rsidRPr="003A5AA8">
        <w:rPr>
          <w:rFonts w:asciiTheme="minorHAnsi" w:hAnsiTheme="minorHAnsi"/>
          <w:i w:val="0"/>
          <w:color w:val="auto"/>
        </w:rPr>
        <w:t xml:space="preserve">ze zákonných důvodů </w:t>
      </w:r>
      <w:r w:rsidRPr="003A5AA8">
        <w:rPr>
          <w:rFonts w:asciiTheme="minorHAnsi" w:hAnsiTheme="minorHAnsi"/>
          <w:i w:val="0"/>
          <w:color w:val="auto"/>
        </w:rPr>
        <w:t xml:space="preserve">(podané a </w:t>
      </w:r>
      <w:r w:rsidRPr="003A5AA8">
        <w:rPr>
          <w:rFonts w:asciiTheme="minorHAnsi" w:hAnsiTheme="minorHAnsi"/>
          <w:i w:val="0"/>
          <w:color w:val="auto"/>
        </w:rPr>
        <w:lastRenderedPageBreak/>
        <w:t xml:space="preserve">potvrzené nominace) poskytovaného SSO, aniž by vznikl problém u SSO. Zejména jde o odstávky vyvolané TSO z důvodu pravidelné odstávky, lokálního výpadku či </w:t>
      </w:r>
      <w:proofErr w:type="spellStart"/>
      <w:r w:rsidR="00FE4012" w:rsidRPr="003A5AA8">
        <w:rPr>
          <w:rFonts w:asciiTheme="minorHAnsi" w:hAnsiTheme="minorHAnsi"/>
          <w:i w:val="0"/>
          <w:color w:val="auto"/>
        </w:rPr>
        <w:t>f</w:t>
      </w:r>
      <w:r w:rsidRPr="003A5AA8">
        <w:rPr>
          <w:rFonts w:asciiTheme="minorHAnsi" w:hAnsiTheme="minorHAnsi"/>
          <w:i w:val="0"/>
          <w:color w:val="auto"/>
        </w:rPr>
        <w:t>orce</w:t>
      </w:r>
      <w:proofErr w:type="spellEnd"/>
      <w:r w:rsidRPr="003A5AA8">
        <w:rPr>
          <w:rFonts w:asciiTheme="minorHAnsi" w:hAnsiTheme="minorHAnsi"/>
          <w:i w:val="0"/>
          <w:color w:val="auto"/>
        </w:rPr>
        <w:t xml:space="preserve"> </w:t>
      </w:r>
      <w:proofErr w:type="spellStart"/>
      <w:r w:rsidR="00FE4012" w:rsidRPr="003A5AA8">
        <w:rPr>
          <w:rFonts w:asciiTheme="minorHAnsi" w:hAnsiTheme="minorHAnsi"/>
          <w:i w:val="0"/>
          <w:color w:val="auto"/>
        </w:rPr>
        <w:t>m</w:t>
      </w:r>
      <w:r w:rsidRPr="003A5AA8">
        <w:rPr>
          <w:rFonts w:asciiTheme="minorHAnsi" w:hAnsiTheme="minorHAnsi"/>
          <w:i w:val="0"/>
          <w:color w:val="auto"/>
        </w:rPr>
        <w:t>ajeure</w:t>
      </w:r>
      <w:proofErr w:type="spellEnd"/>
      <w:r w:rsidRPr="003A5AA8">
        <w:rPr>
          <w:rFonts w:asciiTheme="minorHAnsi" w:hAnsiTheme="minorHAnsi"/>
          <w:i w:val="0"/>
          <w:color w:val="auto"/>
        </w:rPr>
        <w:t xml:space="preserve">. To není pro obchodníky nic nového. Při uzavírání smlouvy mezi obchodníky je standardem uvádět možnost nedodání resp. vyloučení z plnění z důvodů vyvolaných příslušnými </w:t>
      </w:r>
      <w:proofErr w:type="spellStart"/>
      <w:r w:rsidRPr="003A5AA8">
        <w:rPr>
          <w:rFonts w:asciiTheme="minorHAnsi" w:hAnsiTheme="minorHAnsi"/>
          <w:i w:val="0"/>
          <w:color w:val="auto"/>
        </w:rPr>
        <w:t>TSOs</w:t>
      </w:r>
      <w:proofErr w:type="spellEnd"/>
      <w:r w:rsidRPr="003A5AA8">
        <w:rPr>
          <w:rFonts w:asciiTheme="minorHAnsi" w:hAnsiTheme="minorHAnsi"/>
          <w:i w:val="0"/>
          <w:color w:val="auto"/>
        </w:rPr>
        <w:t>. Na druhou stranu by obchodníci/skladovatelé již nepotřebovali sjednanou přepravní kapacitu, takže se dá očekávat, že by jimi tato změna byla přijata pozitivně.</w:t>
      </w:r>
    </w:p>
    <w:p w14:paraId="0C3CF314" w14:textId="35EBEF87" w:rsidR="006971EE" w:rsidRPr="003A5AA8" w:rsidRDefault="006971EE" w:rsidP="00E83EDC">
      <w:pPr>
        <w:pStyle w:val="odpoved"/>
        <w:spacing w:after="0"/>
        <w:ind w:left="0"/>
        <w:contextualSpacing w:val="0"/>
        <w:rPr>
          <w:rFonts w:asciiTheme="minorHAnsi" w:hAnsiTheme="minorHAnsi"/>
          <w:i w:val="0"/>
          <w:color w:val="auto"/>
        </w:rPr>
      </w:pPr>
      <w:r w:rsidRPr="003A5AA8">
        <w:rPr>
          <w:rFonts w:asciiTheme="minorHAnsi" w:hAnsiTheme="minorHAnsi"/>
          <w:i w:val="0"/>
          <w:color w:val="auto"/>
        </w:rPr>
        <w:t>Do aktivit obchodníků by se promítla také kompenzace výnosů TSO</w:t>
      </w:r>
      <w:r w:rsidR="006B551D" w:rsidRPr="003A5AA8">
        <w:rPr>
          <w:rFonts w:asciiTheme="minorHAnsi" w:hAnsiTheme="minorHAnsi"/>
          <w:i w:val="0"/>
          <w:color w:val="auto"/>
        </w:rPr>
        <w:t xml:space="preserve"> a její forma</w:t>
      </w:r>
      <w:r w:rsidRPr="003A5AA8">
        <w:rPr>
          <w:rFonts w:asciiTheme="minorHAnsi" w:hAnsiTheme="minorHAnsi"/>
          <w:i w:val="0"/>
          <w:color w:val="auto"/>
        </w:rPr>
        <w:t xml:space="preserve">, tedy měli by pro dodávku koncovým zákazníků jinou strukturu </w:t>
      </w:r>
      <w:r w:rsidR="006B551D" w:rsidRPr="003A5AA8">
        <w:rPr>
          <w:rFonts w:asciiTheme="minorHAnsi" w:hAnsiTheme="minorHAnsi"/>
          <w:i w:val="0"/>
          <w:color w:val="auto"/>
        </w:rPr>
        <w:t xml:space="preserve">a výši </w:t>
      </w:r>
      <w:r w:rsidRPr="003A5AA8">
        <w:rPr>
          <w:rFonts w:asciiTheme="minorHAnsi" w:hAnsiTheme="minorHAnsi"/>
          <w:i w:val="0"/>
          <w:color w:val="auto"/>
        </w:rPr>
        <w:t xml:space="preserve">nákladů (snížení ceny využívání zásobníků, zvýšení ceny na hraničních bodech nebo na domácím bodě, případně v kombinaci). </w:t>
      </w:r>
    </w:p>
    <w:p w14:paraId="3844EDF0" w14:textId="77777777" w:rsidR="001A74CC" w:rsidRPr="003A5AA8" w:rsidRDefault="001A74CC" w:rsidP="00E83EDC">
      <w:pPr>
        <w:pStyle w:val="odpoved"/>
        <w:keepNext/>
        <w:spacing w:before="120" w:after="0"/>
        <w:ind w:left="0"/>
        <w:contextualSpacing w:val="0"/>
        <w:rPr>
          <w:rFonts w:asciiTheme="minorHAnsi" w:hAnsiTheme="minorHAnsi"/>
          <w:b/>
          <w:i w:val="0"/>
          <w:color w:val="auto"/>
        </w:rPr>
      </w:pPr>
      <w:r w:rsidRPr="003A5AA8">
        <w:rPr>
          <w:rFonts w:asciiTheme="minorHAnsi" w:hAnsiTheme="minorHAnsi"/>
          <w:b/>
          <w:i w:val="0"/>
          <w:color w:val="auto"/>
        </w:rPr>
        <w:t>Dopad na obchodníky (zahraniční)</w:t>
      </w:r>
    </w:p>
    <w:p w14:paraId="4768E096" w14:textId="1E836FC6" w:rsidR="001A74CC" w:rsidRPr="003A5AA8" w:rsidRDefault="001B0AF3" w:rsidP="00E83EDC">
      <w:pPr>
        <w:pStyle w:val="odpoved"/>
        <w:spacing w:after="0"/>
        <w:ind w:left="0"/>
        <w:contextualSpacing w:val="0"/>
        <w:rPr>
          <w:rFonts w:asciiTheme="minorHAnsi" w:hAnsiTheme="minorHAnsi"/>
          <w:i w:val="0"/>
          <w:color w:val="auto"/>
        </w:rPr>
      </w:pPr>
      <w:r w:rsidRPr="003A5AA8">
        <w:rPr>
          <w:rFonts w:asciiTheme="minorHAnsi" w:hAnsiTheme="minorHAnsi"/>
          <w:i w:val="0"/>
          <w:color w:val="auto"/>
        </w:rPr>
        <w:t xml:space="preserve">Zahraniční účastnící trhu </w:t>
      </w:r>
      <w:r w:rsidR="00C754CE" w:rsidRPr="003A5AA8">
        <w:rPr>
          <w:rFonts w:asciiTheme="minorHAnsi" w:hAnsiTheme="minorHAnsi"/>
          <w:i w:val="0"/>
          <w:color w:val="auto"/>
        </w:rPr>
        <w:t xml:space="preserve">využívající podzemní zásobníky v ČR </w:t>
      </w:r>
      <w:r w:rsidRPr="003A5AA8">
        <w:rPr>
          <w:rFonts w:asciiTheme="minorHAnsi" w:hAnsiTheme="minorHAnsi"/>
          <w:i w:val="0"/>
          <w:color w:val="auto"/>
        </w:rPr>
        <w:t>by se museli v navrhovaném modelu stát subjektem zúčtování dle EZ z důvodu vyhodnocování odchylek OTE na VOB. To by sebou přineslo i nutnost uzavřít s OTE smlouvu na zúčtování odchylek.</w:t>
      </w:r>
      <w:r w:rsidR="00C754CE" w:rsidRPr="003A5AA8">
        <w:rPr>
          <w:rFonts w:asciiTheme="minorHAnsi" w:hAnsiTheme="minorHAnsi"/>
          <w:i w:val="0"/>
          <w:color w:val="auto"/>
        </w:rPr>
        <w:t xml:space="preserve"> </w:t>
      </w:r>
      <w:r w:rsidR="00FE4012" w:rsidRPr="003A5AA8">
        <w:rPr>
          <w:rFonts w:asciiTheme="minorHAnsi" w:hAnsiTheme="minorHAnsi"/>
          <w:i w:val="0"/>
          <w:color w:val="auto"/>
        </w:rPr>
        <w:t>Nicméně pok</w:t>
      </w:r>
      <w:r w:rsidR="00710CA3" w:rsidRPr="003A5AA8">
        <w:rPr>
          <w:rFonts w:asciiTheme="minorHAnsi" w:hAnsiTheme="minorHAnsi"/>
          <w:i w:val="0"/>
          <w:color w:val="auto"/>
        </w:rPr>
        <w:t>u</w:t>
      </w:r>
      <w:r w:rsidR="00FE4012" w:rsidRPr="003A5AA8">
        <w:rPr>
          <w:rFonts w:asciiTheme="minorHAnsi" w:hAnsiTheme="minorHAnsi"/>
          <w:i w:val="0"/>
          <w:color w:val="auto"/>
        </w:rPr>
        <w:t>d takoví obchodníci existují, před</w:t>
      </w:r>
      <w:r w:rsidR="00710CA3" w:rsidRPr="003A5AA8">
        <w:rPr>
          <w:rFonts w:asciiTheme="minorHAnsi" w:hAnsiTheme="minorHAnsi"/>
          <w:i w:val="0"/>
          <w:color w:val="auto"/>
        </w:rPr>
        <w:t>p</w:t>
      </w:r>
      <w:r w:rsidR="00FE4012" w:rsidRPr="003A5AA8">
        <w:rPr>
          <w:rFonts w:asciiTheme="minorHAnsi" w:hAnsiTheme="minorHAnsi"/>
          <w:i w:val="0"/>
          <w:color w:val="auto"/>
        </w:rPr>
        <w:t>okládáme, že jich je velmi omezený počet.</w:t>
      </w:r>
    </w:p>
    <w:p w14:paraId="19ED392E" w14:textId="77777777" w:rsidR="00652967" w:rsidRPr="003A5AA8" w:rsidRDefault="00652967" w:rsidP="00E83EDC">
      <w:pPr>
        <w:pStyle w:val="odpoved"/>
        <w:keepNext/>
        <w:spacing w:before="120" w:after="0"/>
        <w:ind w:left="0"/>
        <w:contextualSpacing w:val="0"/>
        <w:rPr>
          <w:rFonts w:asciiTheme="minorHAnsi" w:hAnsiTheme="minorHAnsi"/>
          <w:b/>
          <w:i w:val="0"/>
          <w:color w:val="auto"/>
        </w:rPr>
      </w:pPr>
      <w:r w:rsidRPr="003A5AA8">
        <w:rPr>
          <w:rFonts w:asciiTheme="minorHAnsi" w:hAnsiTheme="minorHAnsi"/>
          <w:b/>
          <w:i w:val="0"/>
          <w:color w:val="auto"/>
        </w:rPr>
        <w:t>Dopad na DSO</w:t>
      </w:r>
    </w:p>
    <w:p w14:paraId="3CB76683" w14:textId="77777777" w:rsidR="00652967" w:rsidRPr="003A5AA8" w:rsidRDefault="00652967" w:rsidP="00E83EDC">
      <w:pPr>
        <w:pStyle w:val="odpoved"/>
        <w:spacing w:after="0"/>
        <w:ind w:left="0"/>
        <w:contextualSpacing w:val="0"/>
        <w:rPr>
          <w:rFonts w:asciiTheme="minorHAnsi" w:hAnsiTheme="minorHAnsi"/>
          <w:i w:val="0"/>
          <w:color w:val="auto"/>
        </w:rPr>
      </w:pPr>
      <w:r w:rsidRPr="003A5AA8">
        <w:rPr>
          <w:rFonts w:asciiTheme="minorHAnsi" w:hAnsiTheme="minorHAnsi"/>
          <w:i w:val="0"/>
          <w:color w:val="auto"/>
        </w:rPr>
        <w:t>Neočekáváme významný dopad na DSO. V navržené úpravě modelu není žádná část, která by se dotýkala rolí a procesů DSO. Tarify DSO jsou plně regulovány a úspěšně je zaveden systém toku peněz od místa vybrání k místu, kde jsou náklady vyvolávány. Pouze v případě, že by byly výnosy TSO nevybrané nově na přepravní kapacitě z/do virtuálního zásobníku plně nebo částečně alokovány na domácí bod, projevilo by se to vůči DSO zvýšením výnosů TSO alokovaných k výběru přes DSO. DSO by tedy mohlo být vystaveno vyššímu objemovému riziku plynoucímu z plánování tarifů v závislosti na očekávané spotřebě zemního plynu vůči jeho skutečné spotřebě.</w:t>
      </w:r>
    </w:p>
    <w:p w14:paraId="538C5925" w14:textId="77777777" w:rsidR="001A74CC" w:rsidRPr="003A5AA8" w:rsidRDefault="001A74CC" w:rsidP="00E83EDC">
      <w:pPr>
        <w:pStyle w:val="odpoved"/>
        <w:keepNext/>
        <w:spacing w:before="120" w:after="0"/>
        <w:ind w:left="0"/>
        <w:contextualSpacing w:val="0"/>
        <w:rPr>
          <w:rFonts w:asciiTheme="minorHAnsi" w:hAnsiTheme="minorHAnsi"/>
          <w:b/>
          <w:i w:val="0"/>
          <w:color w:val="auto"/>
        </w:rPr>
      </w:pPr>
      <w:r w:rsidRPr="003A5AA8">
        <w:rPr>
          <w:rFonts w:asciiTheme="minorHAnsi" w:hAnsiTheme="minorHAnsi"/>
          <w:b/>
          <w:i w:val="0"/>
          <w:color w:val="auto"/>
        </w:rPr>
        <w:t>Dopad na spotřebitele</w:t>
      </w:r>
    </w:p>
    <w:p w14:paraId="4C5A2EEB" w14:textId="77777777" w:rsidR="001A74CC" w:rsidRPr="003A5AA8" w:rsidRDefault="001A74CC" w:rsidP="00E83EDC">
      <w:pPr>
        <w:pStyle w:val="odpoved"/>
        <w:spacing w:after="0"/>
        <w:ind w:left="0"/>
        <w:contextualSpacing w:val="0"/>
        <w:rPr>
          <w:rFonts w:asciiTheme="minorHAnsi" w:hAnsiTheme="minorHAnsi"/>
          <w:i w:val="0"/>
          <w:color w:val="auto"/>
        </w:rPr>
      </w:pPr>
      <w:r w:rsidRPr="003A5AA8">
        <w:rPr>
          <w:rFonts w:asciiTheme="minorHAnsi" w:hAnsiTheme="minorHAnsi"/>
          <w:i w:val="0"/>
          <w:color w:val="auto"/>
        </w:rPr>
        <w:t>V současném tržním prostředí většina obchodníků počítá náklady na strukturaci dodávky spotřebitelům, tedy náklady na PZP, na základě tržních forwardových křivek zemního plynu. Dopad nákladů na strukturaci pro individuálně oceňované spotřebitele primárně závisí na aktuálním vývoji ceny komodity více než na skutečně vyvolaných nákladech na PZP.</w:t>
      </w:r>
    </w:p>
    <w:p w14:paraId="78A3FF77" w14:textId="42A7BF16" w:rsidR="001A74CC" w:rsidRPr="003A5AA8" w:rsidRDefault="008F4DC1" w:rsidP="00E83EDC">
      <w:pPr>
        <w:pStyle w:val="odpoved"/>
        <w:spacing w:after="0"/>
        <w:ind w:left="0"/>
        <w:contextualSpacing w:val="0"/>
        <w:rPr>
          <w:rFonts w:asciiTheme="minorHAnsi" w:hAnsiTheme="minorHAnsi"/>
          <w:i w:val="0"/>
          <w:color w:val="auto"/>
        </w:rPr>
      </w:pPr>
      <w:r w:rsidRPr="003A5AA8">
        <w:rPr>
          <w:rFonts w:asciiTheme="minorHAnsi" w:hAnsiTheme="minorHAnsi"/>
          <w:i w:val="0"/>
          <w:color w:val="auto"/>
        </w:rPr>
        <w:t>V</w:t>
      </w:r>
      <w:r w:rsidR="001A74CC" w:rsidRPr="003A5AA8">
        <w:rPr>
          <w:rFonts w:asciiTheme="minorHAnsi" w:hAnsiTheme="minorHAnsi"/>
          <w:i w:val="0"/>
          <w:color w:val="auto"/>
        </w:rPr>
        <w:t>ycházíme z předpokladu, že záměrem je provést zrušení rezervace a zpoplatnění přepravní kapacity z/do virtuálního zásobníku plynu neutrálně z pohledu TSO. Z tohoto pohledu se tedy nejedná o zrušení těchto výnosů TSO a nákladů přepravce, ale o jejich převedení do jiné formy, buď do vyšších vstupních tarifů na hraničních bodech, do vyšších přepravních nákladů na domácím bodě (tak jak vstupují do DSO tarifů) anebo jejich kombinace. Tedy obchodníci/dodavatelé budou těmto nákladům stále vystaveni – buď ve formě nepatrně dražšího dovozu do ČR, nepatrně dražšího výstupu na domácí bod nebo jejich kombinaci. Tyto náklady zůstanou následně stále alokovány na domácí koncové zákazníky</w:t>
      </w:r>
      <w:r w:rsidRPr="003A5AA8">
        <w:rPr>
          <w:rFonts w:asciiTheme="minorHAnsi" w:hAnsiTheme="minorHAnsi"/>
          <w:i w:val="0"/>
          <w:color w:val="auto"/>
        </w:rPr>
        <w:t xml:space="preserve"> a dopad by měl být z tohoto úhlu pohledu </w:t>
      </w:r>
      <w:r w:rsidR="00DC6DF9" w:rsidRPr="003A5AA8">
        <w:rPr>
          <w:rFonts w:asciiTheme="minorHAnsi" w:hAnsiTheme="minorHAnsi"/>
          <w:i w:val="0"/>
          <w:color w:val="auto"/>
        </w:rPr>
        <w:t xml:space="preserve">opět </w:t>
      </w:r>
      <w:r w:rsidRPr="003A5AA8">
        <w:rPr>
          <w:rFonts w:asciiTheme="minorHAnsi" w:hAnsiTheme="minorHAnsi"/>
          <w:i w:val="0"/>
          <w:color w:val="auto"/>
        </w:rPr>
        <w:t>neutrální</w:t>
      </w:r>
      <w:r w:rsidR="001A74CC" w:rsidRPr="003A5AA8">
        <w:rPr>
          <w:rFonts w:asciiTheme="minorHAnsi" w:hAnsiTheme="minorHAnsi"/>
          <w:i w:val="0"/>
          <w:color w:val="auto"/>
        </w:rPr>
        <w:t>.</w:t>
      </w:r>
    </w:p>
    <w:p w14:paraId="468C6CAB" w14:textId="6F22D09A" w:rsidR="001A74CC" w:rsidRPr="003A5AA8" w:rsidRDefault="001A74CC" w:rsidP="00E83EDC">
      <w:pPr>
        <w:pStyle w:val="odpoved"/>
        <w:spacing w:after="0"/>
        <w:ind w:left="0"/>
        <w:contextualSpacing w:val="0"/>
        <w:rPr>
          <w:rFonts w:asciiTheme="minorHAnsi" w:hAnsiTheme="minorHAnsi"/>
          <w:i w:val="0"/>
          <w:color w:val="auto"/>
        </w:rPr>
      </w:pPr>
      <w:r w:rsidRPr="003A5AA8">
        <w:rPr>
          <w:rFonts w:asciiTheme="minorHAnsi" w:hAnsiTheme="minorHAnsi"/>
          <w:i w:val="0"/>
          <w:color w:val="auto"/>
        </w:rPr>
        <w:t>Na koncové zákazníky by n</w:t>
      </w:r>
      <w:r w:rsidR="00DC6DF9" w:rsidRPr="003A5AA8">
        <w:rPr>
          <w:rFonts w:asciiTheme="minorHAnsi" w:hAnsiTheme="minorHAnsi"/>
          <w:i w:val="0"/>
          <w:color w:val="auto"/>
        </w:rPr>
        <w:t>aopak</w:t>
      </w:r>
      <w:r w:rsidRPr="003A5AA8">
        <w:rPr>
          <w:rFonts w:asciiTheme="minorHAnsi" w:hAnsiTheme="minorHAnsi"/>
          <w:i w:val="0"/>
          <w:color w:val="auto"/>
        </w:rPr>
        <w:t xml:space="preserve"> měl mít pozitivní cenový efekt i očekávané zvýšení likvidity na </w:t>
      </w:r>
      <w:r w:rsidR="008F4DC1" w:rsidRPr="003A5AA8">
        <w:rPr>
          <w:rFonts w:asciiTheme="minorHAnsi" w:hAnsiTheme="minorHAnsi"/>
          <w:i w:val="0"/>
          <w:color w:val="auto"/>
        </w:rPr>
        <w:t>VOB</w:t>
      </w:r>
      <w:r w:rsidR="00BA31BB" w:rsidRPr="003A5AA8">
        <w:rPr>
          <w:rFonts w:asciiTheme="minorHAnsi" w:hAnsiTheme="minorHAnsi"/>
          <w:i w:val="0"/>
          <w:color w:val="auto"/>
        </w:rPr>
        <w:t xml:space="preserve"> způsobený</w:t>
      </w:r>
      <w:r w:rsidR="008F4DC1" w:rsidRPr="003A5AA8">
        <w:rPr>
          <w:rFonts w:asciiTheme="minorHAnsi" w:hAnsiTheme="minorHAnsi"/>
          <w:i w:val="0"/>
          <w:color w:val="auto"/>
        </w:rPr>
        <w:t xml:space="preserve"> </w:t>
      </w:r>
      <w:r w:rsidR="00BA31BB" w:rsidRPr="003A5AA8">
        <w:rPr>
          <w:rFonts w:asciiTheme="minorHAnsi" w:hAnsiTheme="minorHAnsi"/>
          <w:i w:val="0"/>
          <w:color w:val="auto"/>
        </w:rPr>
        <w:t>odstraněním variabilních nákladů a snížením fixních</w:t>
      </w:r>
      <w:r w:rsidRPr="003A5AA8">
        <w:rPr>
          <w:rFonts w:asciiTheme="minorHAnsi" w:hAnsiTheme="minorHAnsi"/>
          <w:i w:val="0"/>
          <w:color w:val="auto"/>
        </w:rPr>
        <w:t xml:space="preserve"> nákladů </w:t>
      </w:r>
      <w:r w:rsidR="00BA31BB" w:rsidRPr="003A5AA8">
        <w:rPr>
          <w:rFonts w:asciiTheme="minorHAnsi" w:hAnsiTheme="minorHAnsi"/>
          <w:i w:val="0"/>
          <w:color w:val="auto"/>
        </w:rPr>
        <w:t xml:space="preserve">na využívání virtuálních zásobníků, a to prostřednictvím snížení nákladů </w:t>
      </w:r>
      <w:r w:rsidRPr="003A5AA8">
        <w:rPr>
          <w:rFonts w:asciiTheme="minorHAnsi" w:hAnsiTheme="minorHAnsi"/>
          <w:i w:val="0"/>
          <w:color w:val="auto"/>
        </w:rPr>
        <w:t>na obchodní i systémové vyvažování z</w:t>
      </w:r>
      <w:r w:rsidR="00BA31BB" w:rsidRPr="003A5AA8">
        <w:rPr>
          <w:rFonts w:asciiTheme="minorHAnsi" w:hAnsiTheme="minorHAnsi"/>
          <w:i w:val="0"/>
          <w:color w:val="auto"/>
        </w:rPr>
        <w:t> </w:t>
      </w:r>
      <w:r w:rsidRPr="003A5AA8">
        <w:rPr>
          <w:rFonts w:asciiTheme="minorHAnsi" w:hAnsiTheme="minorHAnsi"/>
          <w:i w:val="0"/>
          <w:color w:val="auto"/>
        </w:rPr>
        <w:t>důvodu aktivnějšího využívání zásobníku</w:t>
      </w:r>
      <w:r w:rsidR="008F4DC1" w:rsidRPr="003A5AA8">
        <w:rPr>
          <w:rFonts w:asciiTheme="minorHAnsi" w:hAnsiTheme="minorHAnsi"/>
          <w:i w:val="0"/>
          <w:color w:val="auto"/>
        </w:rPr>
        <w:t>.</w:t>
      </w:r>
      <w:r w:rsidR="00BA31BB" w:rsidRPr="003A5AA8">
        <w:rPr>
          <w:rFonts w:asciiTheme="minorHAnsi" w:hAnsiTheme="minorHAnsi"/>
          <w:i w:val="0"/>
          <w:color w:val="auto"/>
        </w:rPr>
        <w:t xml:space="preserve"> </w:t>
      </w:r>
      <w:r w:rsidR="0027405B" w:rsidRPr="003A5AA8">
        <w:rPr>
          <w:rFonts w:asciiTheme="minorHAnsi" w:hAnsiTheme="minorHAnsi"/>
          <w:i w:val="0"/>
          <w:color w:val="auto"/>
        </w:rPr>
        <w:t>Také</w:t>
      </w:r>
      <w:r w:rsidR="00BA31BB" w:rsidRPr="003A5AA8">
        <w:rPr>
          <w:rFonts w:asciiTheme="minorHAnsi" w:hAnsiTheme="minorHAnsi"/>
          <w:i w:val="0"/>
          <w:color w:val="auto"/>
        </w:rPr>
        <w:t xml:space="preserve"> </w:t>
      </w:r>
      <w:r w:rsidRPr="003A5AA8">
        <w:rPr>
          <w:rFonts w:asciiTheme="minorHAnsi" w:hAnsiTheme="minorHAnsi"/>
          <w:i w:val="0"/>
          <w:color w:val="auto"/>
        </w:rPr>
        <w:t xml:space="preserve">jednodušší a levnější rezervace </w:t>
      </w:r>
      <w:r w:rsidR="00BA31BB" w:rsidRPr="003A5AA8">
        <w:rPr>
          <w:rFonts w:asciiTheme="minorHAnsi" w:hAnsiTheme="minorHAnsi"/>
          <w:i w:val="0"/>
          <w:color w:val="auto"/>
        </w:rPr>
        <w:t xml:space="preserve">a využívání zásobníků v ČR </w:t>
      </w:r>
      <w:r w:rsidRPr="003A5AA8">
        <w:rPr>
          <w:rFonts w:asciiTheme="minorHAnsi" w:hAnsiTheme="minorHAnsi"/>
          <w:i w:val="0"/>
          <w:color w:val="auto"/>
        </w:rPr>
        <w:t>ve srovnání s</w:t>
      </w:r>
      <w:r w:rsidR="00BA31BB" w:rsidRPr="003A5AA8">
        <w:rPr>
          <w:rFonts w:asciiTheme="minorHAnsi" w:hAnsiTheme="minorHAnsi"/>
          <w:i w:val="0"/>
          <w:color w:val="auto"/>
        </w:rPr>
        <w:t> </w:t>
      </w:r>
      <w:r w:rsidRPr="003A5AA8">
        <w:rPr>
          <w:rFonts w:asciiTheme="minorHAnsi" w:hAnsiTheme="minorHAnsi"/>
          <w:i w:val="0"/>
          <w:color w:val="auto"/>
        </w:rPr>
        <w:t>dovozem flexibility ze zahraničí</w:t>
      </w:r>
      <w:r w:rsidR="0027405B" w:rsidRPr="003A5AA8">
        <w:rPr>
          <w:rFonts w:asciiTheme="minorHAnsi" w:hAnsiTheme="minorHAnsi"/>
          <w:i w:val="0"/>
          <w:color w:val="auto"/>
        </w:rPr>
        <w:t xml:space="preserve"> </w:t>
      </w:r>
      <w:r w:rsidR="00BA31BB" w:rsidRPr="003A5AA8">
        <w:rPr>
          <w:rFonts w:asciiTheme="minorHAnsi" w:hAnsiTheme="minorHAnsi"/>
          <w:i w:val="0"/>
          <w:color w:val="auto"/>
        </w:rPr>
        <w:t>vytvá</w:t>
      </w:r>
      <w:r w:rsidR="0027405B" w:rsidRPr="003A5AA8">
        <w:rPr>
          <w:rFonts w:asciiTheme="minorHAnsi" w:hAnsiTheme="minorHAnsi"/>
          <w:i w:val="0"/>
          <w:color w:val="auto"/>
        </w:rPr>
        <w:t>ří novou příležitost</w:t>
      </w:r>
      <w:r w:rsidRPr="003A5AA8">
        <w:rPr>
          <w:rFonts w:asciiTheme="minorHAnsi" w:hAnsiTheme="minorHAnsi"/>
          <w:i w:val="0"/>
          <w:color w:val="auto"/>
        </w:rPr>
        <w:t>.</w:t>
      </w:r>
    </w:p>
    <w:p w14:paraId="16D1FCA2" w14:textId="55F08739" w:rsidR="00BA31BB" w:rsidRPr="003A5AA8" w:rsidRDefault="00BA31BB" w:rsidP="00E83EDC">
      <w:pPr>
        <w:pStyle w:val="odpoved"/>
        <w:spacing w:after="0"/>
        <w:ind w:left="0"/>
        <w:contextualSpacing w:val="0"/>
        <w:rPr>
          <w:rFonts w:asciiTheme="minorHAnsi" w:hAnsiTheme="minorHAnsi"/>
          <w:i w:val="0"/>
          <w:color w:val="auto"/>
        </w:rPr>
      </w:pPr>
      <w:r w:rsidRPr="003A5AA8">
        <w:rPr>
          <w:rFonts w:asciiTheme="minorHAnsi" w:hAnsiTheme="minorHAnsi"/>
          <w:i w:val="0"/>
          <w:color w:val="auto"/>
        </w:rPr>
        <w:t xml:space="preserve">Je důležité si také uvědomit, že zde mluvíme o realokaci výnosů TSO ve výši cca 100 mil. Kč z celkového objemu na úrovni cca 1,9 mld. Kč, tedy pouze o necelých 5 % z nákladů na přepravu. </w:t>
      </w:r>
      <w:r w:rsidR="004F10F4" w:rsidRPr="003A5AA8">
        <w:rPr>
          <w:rFonts w:asciiTheme="minorHAnsi" w:hAnsiTheme="minorHAnsi"/>
          <w:i w:val="0"/>
          <w:color w:val="auto"/>
        </w:rPr>
        <w:t xml:space="preserve">Pokud vycházíme ze zkušenosti, že přeprava se podílí cca 1 % na koncové ceně plynu, mluvíme zde pouze o realokaci (nikoliv navýšení) 0,05 % koncové ceny mezi spotřebiteli. Přímý dopad na </w:t>
      </w:r>
      <w:r w:rsidR="004F10F4" w:rsidRPr="003A5AA8">
        <w:rPr>
          <w:rFonts w:asciiTheme="minorHAnsi" w:hAnsiTheme="minorHAnsi"/>
          <w:i w:val="0"/>
          <w:color w:val="auto"/>
        </w:rPr>
        <w:lastRenderedPageBreak/>
        <w:t xml:space="preserve">spotřebitele by tedy byl v praxi nepostřehnutelný a nerozlišitelný od ostatních meziročních faktorů jako k faktor, vlivy </w:t>
      </w:r>
      <w:proofErr w:type="gramStart"/>
      <w:r w:rsidR="004F10F4" w:rsidRPr="003A5AA8">
        <w:rPr>
          <w:rFonts w:asciiTheme="minorHAnsi" w:hAnsiTheme="minorHAnsi"/>
          <w:i w:val="0"/>
          <w:color w:val="auto"/>
        </w:rPr>
        <w:t>inflace a pod.</w:t>
      </w:r>
      <w:proofErr w:type="gramEnd"/>
    </w:p>
    <w:p w14:paraId="53B0DDEF" w14:textId="004094ED" w:rsidR="001A74CC" w:rsidRDefault="001A74CC" w:rsidP="00E83EDC">
      <w:pPr>
        <w:pStyle w:val="odpoved"/>
        <w:spacing w:after="0"/>
        <w:ind w:left="0"/>
        <w:contextualSpacing w:val="0"/>
        <w:rPr>
          <w:rFonts w:asciiTheme="minorHAnsi" w:hAnsiTheme="minorHAnsi"/>
          <w:i w:val="0"/>
          <w:color w:val="auto"/>
        </w:rPr>
      </w:pPr>
      <w:r w:rsidRPr="003A5AA8">
        <w:rPr>
          <w:rFonts w:asciiTheme="minorHAnsi" w:hAnsiTheme="minorHAnsi"/>
          <w:i w:val="0"/>
          <w:color w:val="auto"/>
        </w:rPr>
        <w:t xml:space="preserve">V předchozí části byl zmíněn pouze cenový aspekt. Mnohem důležitější je v této souvislosti nutné hovořit o stabilitě a bezpečnosti. Zamýšlený záměr </w:t>
      </w:r>
      <w:r w:rsidR="00CA098E">
        <w:rPr>
          <w:rFonts w:asciiTheme="minorHAnsi" w:hAnsiTheme="minorHAnsi"/>
          <w:i w:val="0"/>
          <w:color w:val="auto"/>
        </w:rPr>
        <w:t>pokročil</w:t>
      </w:r>
      <w:r w:rsidR="00DC6DF9" w:rsidRPr="003A5AA8">
        <w:rPr>
          <w:rFonts w:asciiTheme="minorHAnsi" w:hAnsiTheme="minorHAnsi"/>
          <w:i w:val="0"/>
          <w:color w:val="auto"/>
        </w:rPr>
        <w:t xml:space="preserve">é </w:t>
      </w:r>
      <w:r w:rsidRPr="003A5AA8">
        <w:rPr>
          <w:rFonts w:asciiTheme="minorHAnsi" w:hAnsiTheme="minorHAnsi"/>
          <w:i w:val="0"/>
          <w:color w:val="auto"/>
        </w:rPr>
        <w:t>virtualizace má za cíl zatraktivnit PZP a zabránit jejich možnému utlumení či likvidaci. Je proto zcela v zájmu spotřebitelů, aby byly učiněny takové kroky, které povedou k zajištění stabilních a bezpečných dodávek i do budoucna, kdy vyprší dobíhající dlouhodobé smlouvy na skladování.</w:t>
      </w:r>
    </w:p>
    <w:p w14:paraId="49836B3F" w14:textId="77777777" w:rsidR="00F21E67" w:rsidRDefault="00F21E67" w:rsidP="00E83EDC">
      <w:pPr>
        <w:pStyle w:val="odpoved"/>
        <w:spacing w:after="0"/>
        <w:ind w:left="0"/>
        <w:contextualSpacing w:val="0"/>
        <w:rPr>
          <w:rFonts w:asciiTheme="minorHAnsi" w:hAnsiTheme="minorHAnsi"/>
          <w:i w:val="0"/>
          <w:color w:val="auto"/>
        </w:rPr>
      </w:pPr>
    </w:p>
    <w:p w14:paraId="52914B95" w14:textId="77777777" w:rsidR="00F21E67" w:rsidRPr="003A5AA8" w:rsidRDefault="00F21E67" w:rsidP="00F21E67">
      <w:pPr>
        <w:pStyle w:val="Nadpis1"/>
      </w:pPr>
      <w:bookmarkStart w:id="11" w:name="_Toc477323760"/>
      <w:r w:rsidRPr="003A5AA8">
        <w:t>Analýza předpokládaného zvýšení likvidity na VOB a následného pozitivního cenového efektu pro koncové zákazníky</w:t>
      </w:r>
      <w:bookmarkEnd w:id="11"/>
    </w:p>
    <w:p w14:paraId="2B0D61F4" w14:textId="77777777" w:rsidR="00F21E67" w:rsidRPr="003A5AA8" w:rsidRDefault="00F21E67" w:rsidP="00F21E67">
      <w:pPr>
        <w:ind w:left="360"/>
        <w:rPr>
          <w:rFonts w:asciiTheme="minorHAnsi" w:hAnsiTheme="minorHAnsi"/>
          <w:b/>
        </w:rPr>
      </w:pPr>
    </w:p>
    <w:p w14:paraId="3B73AAC7" w14:textId="77777777" w:rsidR="00F21E67" w:rsidRPr="003A5AA8" w:rsidRDefault="00F21E67" w:rsidP="00F21E67">
      <w:pPr>
        <w:jc w:val="both"/>
        <w:rPr>
          <w:rFonts w:asciiTheme="minorHAnsi" w:hAnsiTheme="minorHAnsi"/>
        </w:rPr>
      </w:pPr>
      <w:r w:rsidRPr="003A5AA8">
        <w:rPr>
          <w:rFonts w:asciiTheme="minorHAnsi" w:hAnsiTheme="minorHAnsi"/>
        </w:rPr>
        <w:t xml:space="preserve">Krátkodobý trh s plynem na OTE existuje od roku 2010 a po šesti letech fungování lze usoudit, že současný model trhu s plynem již dosáhl svého potenciálu pro vytvoření vyšší likvidity na OTE. Očekávané zvýšení nabídky na vnitrodenním trhu s plynem vyplývající z navrhované pokročilé virtualizace je bezpochyby pozitivním krokem, otázkou tedy je, o jak pozitivní dopad se jedná. Pro zjednodušení budeme v následujícím grafu počítat s nulovou elasticitou poptávky: </w:t>
      </w:r>
    </w:p>
    <w:p w14:paraId="5F6B65AA" w14:textId="77777777" w:rsidR="00F21E67" w:rsidRPr="003A5AA8" w:rsidRDefault="00F21E67" w:rsidP="00F21E67">
      <w:pPr>
        <w:jc w:val="both"/>
        <w:rPr>
          <w:rFonts w:asciiTheme="minorHAnsi" w:hAnsiTheme="minorHAnsi"/>
        </w:rPr>
      </w:pPr>
      <w:r w:rsidRPr="003A5AA8">
        <w:rPr>
          <w:rFonts w:asciiTheme="minorHAnsi" w:hAnsiTheme="minorHAnsi"/>
          <w:noProof/>
          <w:lang w:eastAsia="cs-CZ"/>
        </w:rPr>
        <w:drawing>
          <wp:inline distT="0" distB="0" distL="0" distR="0" wp14:anchorId="4AFAD6B9" wp14:editId="140C53D2">
            <wp:extent cx="2857500" cy="1933575"/>
            <wp:effectExtent l="0" t="0" r="0" b="9525"/>
            <wp:docPr id="2" name="Obráze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2857500" cy="1933575"/>
                    </a:xfrm>
                    <a:prstGeom prst="rect">
                      <a:avLst/>
                    </a:prstGeom>
                  </pic:spPr>
                </pic:pic>
              </a:graphicData>
            </a:graphic>
          </wp:inline>
        </w:drawing>
      </w:r>
    </w:p>
    <w:p w14:paraId="36280EA3" w14:textId="77777777" w:rsidR="00F21E67" w:rsidRDefault="00F21E67" w:rsidP="00F21E67">
      <w:pPr>
        <w:jc w:val="both"/>
        <w:rPr>
          <w:rFonts w:asciiTheme="minorHAnsi" w:hAnsiTheme="minorHAnsi"/>
        </w:rPr>
      </w:pPr>
      <w:r w:rsidRPr="003A5AA8">
        <w:rPr>
          <w:rFonts w:asciiTheme="minorHAnsi" w:hAnsiTheme="minorHAnsi"/>
        </w:rPr>
        <w:t xml:space="preserve">Ekonomická teorie poptávky a nabídky při nulové elasticitě poptávky a vyšší nabídce ukazuje, že při zvýšení nabídky zemního plynu dojde ke snížení ceny ve stejném rozsahu. </w:t>
      </w:r>
    </w:p>
    <w:p w14:paraId="39C661ED" w14:textId="77777777" w:rsidR="00F21E67" w:rsidRPr="003A5AA8" w:rsidRDefault="00F21E67" w:rsidP="00F21E67">
      <w:pPr>
        <w:jc w:val="both"/>
        <w:rPr>
          <w:rFonts w:asciiTheme="minorHAnsi" w:hAnsiTheme="minorHAnsi"/>
        </w:rPr>
      </w:pPr>
    </w:p>
    <w:p w14:paraId="20AA5A0E" w14:textId="77777777" w:rsidR="00F21E67" w:rsidRPr="003A5AA8" w:rsidRDefault="00F21E67" w:rsidP="00F21E67">
      <w:pPr>
        <w:jc w:val="both"/>
        <w:rPr>
          <w:rFonts w:asciiTheme="minorHAnsi" w:hAnsiTheme="minorHAnsi"/>
          <w:b/>
        </w:rPr>
      </w:pPr>
      <w:r w:rsidRPr="003A5AA8">
        <w:rPr>
          <w:rFonts w:asciiTheme="minorHAnsi" w:hAnsiTheme="minorHAnsi"/>
          <w:b/>
        </w:rPr>
        <w:t>Vytvoření likvidity</w:t>
      </w:r>
    </w:p>
    <w:p w14:paraId="424D981D" w14:textId="77777777" w:rsidR="00F21E67" w:rsidRPr="003A5AA8" w:rsidRDefault="00F21E67" w:rsidP="00F21E67">
      <w:pPr>
        <w:jc w:val="both"/>
        <w:rPr>
          <w:rFonts w:asciiTheme="minorHAnsi" w:hAnsiTheme="minorHAnsi"/>
        </w:rPr>
      </w:pPr>
      <w:r w:rsidRPr="003A5AA8">
        <w:rPr>
          <w:rFonts w:asciiTheme="minorHAnsi" w:hAnsiTheme="minorHAnsi"/>
        </w:rPr>
        <w:t>Navrhovaná úprava modelu trhu s plynem spojující virtuální zásobník plynu a virtuální obchodní bod je změnou, která zvýší ochotu obchodníků aktivně na denní bázi využívat dostupné skladovací kapacity, tj. až 56 milionů m</w:t>
      </w:r>
      <w:r w:rsidRPr="003A5AA8">
        <w:rPr>
          <w:rFonts w:asciiTheme="minorHAnsi" w:hAnsiTheme="minorHAnsi"/>
          <w:vertAlign w:val="superscript"/>
        </w:rPr>
        <w:t>3</w:t>
      </w:r>
      <w:r w:rsidRPr="003A5AA8">
        <w:rPr>
          <w:rFonts w:asciiTheme="minorHAnsi" w:hAnsiTheme="minorHAnsi"/>
        </w:rPr>
        <w:t>/denně (suma maximálních denních těžebních výkonů všech PZP v ČR), a umožní jejich okamžité dodání přímo na virtuální obchodní bod. Současné denní zobchodované množství na OTE se pohybuje okolo 20 milionů m</w:t>
      </w:r>
      <w:r w:rsidRPr="003A5AA8">
        <w:rPr>
          <w:rFonts w:asciiTheme="minorHAnsi" w:hAnsiTheme="minorHAnsi"/>
          <w:vertAlign w:val="superscript"/>
        </w:rPr>
        <w:t>3</w:t>
      </w:r>
      <w:r w:rsidRPr="003A5AA8">
        <w:rPr>
          <w:rFonts w:asciiTheme="minorHAnsi" w:hAnsiTheme="minorHAnsi"/>
        </w:rPr>
        <w:t xml:space="preserve">/denně. Vytvoří se tedy potenciál pro zvýšení denního zobchodovaného množství až o 180%. Jedná se přitom o plyn, který je k dispozici přímo v ČR.  </w:t>
      </w:r>
    </w:p>
    <w:p w14:paraId="35D15FE3" w14:textId="77777777" w:rsidR="00F21E67" w:rsidRPr="003A5AA8" w:rsidRDefault="00F21E67" w:rsidP="00F21E67">
      <w:pPr>
        <w:jc w:val="both"/>
        <w:rPr>
          <w:rFonts w:asciiTheme="minorHAnsi" w:hAnsiTheme="minorHAnsi"/>
        </w:rPr>
      </w:pPr>
      <w:r w:rsidRPr="003A5AA8">
        <w:rPr>
          <w:rFonts w:asciiTheme="minorHAnsi" w:hAnsiTheme="minorHAnsi"/>
        </w:rPr>
        <w:t xml:space="preserve">Návrh zároveň odstraňuje dílčí finanční i administrativní náklady na převod plynu mezi VOB a zásobníkem plynu. Obchodníci tak mohou těžit z následujících výhod: </w:t>
      </w:r>
    </w:p>
    <w:p w14:paraId="3C5848A7" w14:textId="77777777" w:rsidR="00F21E67" w:rsidRPr="003A5AA8" w:rsidRDefault="00F21E67" w:rsidP="00F21E67">
      <w:pPr>
        <w:pStyle w:val="Odstavecseseznamem"/>
        <w:numPr>
          <w:ilvl w:val="0"/>
          <w:numId w:val="22"/>
        </w:numPr>
        <w:rPr>
          <w:rFonts w:asciiTheme="minorHAnsi" w:hAnsiTheme="minorHAnsi"/>
          <w:i w:val="0"/>
        </w:rPr>
      </w:pPr>
      <w:r w:rsidRPr="003A5AA8">
        <w:rPr>
          <w:rFonts w:asciiTheme="minorHAnsi" w:hAnsiTheme="minorHAnsi"/>
          <w:i w:val="0"/>
        </w:rPr>
        <w:t>úspora nákladů min. 1%</w:t>
      </w:r>
      <w:r w:rsidRPr="003A5AA8">
        <w:rPr>
          <w:rStyle w:val="Znakapoznpodarou"/>
          <w:rFonts w:asciiTheme="minorHAnsi" w:hAnsiTheme="minorHAnsi"/>
          <w:i w:val="0"/>
        </w:rPr>
        <w:footnoteReference w:id="3"/>
      </w:r>
      <w:r w:rsidRPr="003A5AA8">
        <w:rPr>
          <w:rFonts w:asciiTheme="minorHAnsi" w:hAnsiTheme="minorHAnsi"/>
          <w:i w:val="0"/>
        </w:rPr>
        <w:t xml:space="preserve"> ceny plynu na VOB</w:t>
      </w:r>
    </w:p>
    <w:p w14:paraId="21E8098F" w14:textId="77777777" w:rsidR="00F21E67" w:rsidRPr="003A5AA8" w:rsidRDefault="00F21E67" w:rsidP="00F21E67">
      <w:pPr>
        <w:pStyle w:val="Odstavecseseznamem"/>
        <w:numPr>
          <w:ilvl w:val="0"/>
          <w:numId w:val="22"/>
        </w:numPr>
        <w:rPr>
          <w:rFonts w:asciiTheme="minorHAnsi" w:hAnsiTheme="minorHAnsi"/>
          <w:i w:val="0"/>
        </w:rPr>
      </w:pPr>
      <w:r w:rsidRPr="003A5AA8">
        <w:rPr>
          <w:rFonts w:asciiTheme="minorHAnsi" w:hAnsiTheme="minorHAnsi"/>
          <w:i w:val="0"/>
        </w:rPr>
        <w:t>úspora času při související administrativě (zjištění dostupné přepravní kapacity, nákup přepravní kapacity, nominace u TSO a SSO, nahrání požadavků do interního systému, následná kontrola fakturace a zaplacení) celkem cca. 0,5 hodiny denně v zimních měsících</w:t>
      </w:r>
    </w:p>
    <w:p w14:paraId="5DC37316" w14:textId="77777777" w:rsidR="00F21E67" w:rsidRDefault="00F21E67" w:rsidP="00F21E67">
      <w:pPr>
        <w:jc w:val="both"/>
        <w:rPr>
          <w:rFonts w:asciiTheme="minorHAnsi" w:hAnsiTheme="minorHAnsi"/>
        </w:rPr>
      </w:pPr>
      <w:r w:rsidRPr="003A5AA8">
        <w:rPr>
          <w:rFonts w:asciiTheme="minorHAnsi" w:hAnsiTheme="minorHAnsi"/>
        </w:rPr>
        <w:lastRenderedPageBreak/>
        <w:t>Tyto úspory umožní obchodníkům realizovat obchody se ziskem i při nižším cenovém rozdílu (teď musí být cenový rozdíl vyšší než 1%). To je citelný přínos, jelikož cena plynu na OTE typicky osciluje mezi dny v rozmezí 0,10 - 0,60 euro, přičemž náklady na přepravu do a ze zásobníku tvoří 0,20</w:t>
      </w:r>
      <w:r w:rsidRPr="003A5AA8">
        <w:rPr>
          <w:rFonts w:asciiTheme="minorHAnsi" w:hAnsiTheme="minorHAnsi"/>
          <w:vertAlign w:val="superscript"/>
        </w:rPr>
        <w:t>1</w:t>
      </w:r>
      <w:r w:rsidRPr="003A5AA8">
        <w:rPr>
          <w:rFonts w:asciiTheme="minorHAnsi" w:hAnsiTheme="minorHAnsi"/>
        </w:rPr>
        <w:t xml:space="preserve"> euro. Zrušení těchto nákladů pro obchodníky by tedy výrazně snížilo práh pro obchodování na OTE a uvolnilo tak velký objem plynu v zásobnících k obchodování na OTE. </w:t>
      </w:r>
    </w:p>
    <w:p w14:paraId="2E22FF6A" w14:textId="77777777" w:rsidR="00F21E67" w:rsidRPr="003A5AA8" w:rsidRDefault="00F21E67" w:rsidP="00F21E67">
      <w:pPr>
        <w:rPr>
          <w:rFonts w:asciiTheme="minorHAnsi" w:hAnsiTheme="minorHAnsi"/>
        </w:rPr>
      </w:pPr>
    </w:p>
    <w:p w14:paraId="0FAD58FB" w14:textId="77777777" w:rsidR="00F21E67" w:rsidRPr="003A5AA8" w:rsidRDefault="00F21E67" w:rsidP="00F21E67">
      <w:pPr>
        <w:rPr>
          <w:rFonts w:asciiTheme="minorHAnsi" w:hAnsiTheme="minorHAnsi"/>
          <w:b/>
        </w:rPr>
      </w:pPr>
      <w:r w:rsidRPr="003A5AA8">
        <w:rPr>
          <w:rFonts w:asciiTheme="minorHAnsi" w:hAnsiTheme="minorHAnsi"/>
          <w:b/>
        </w:rPr>
        <w:t xml:space="preserve">Pozitivní efekt pro zákazníky </w:t>
      </w:r>
    </w:p>
    <w:p w14:paraId="083B5600" w14:textId="77777777" w:rsidR="00F21E67" w:rsidRDefault="00F21E67" w:rsidP="00F21E67">
      <w:pPr>
        <w:jc w:val="both"/>
        <w:rPr>
          <w:rFonts w:asciiTheme="minorHAnsi" w:hAnsiTheme="minorHAnsi"/>
        </w:rPr>
      </w:pPr>
      <w:r w:rsidRPr="003A5AA8">
        <w:rPr>
          <w:rFonts w:asciiTheme="minorHAnsi" w:hAnsiTheme="minorHAnsi"/>
        </w:rPr>
        <w:t xml:space="preserve">Vyšší objemy denních zobchodovaných množství umožňují realizaci obchodů s vyššími objemy plynu a realizaci příjmů i při nízkých maržích. Vyšší likvidita proto může přilákat nové hráče nebo inspirovat současné k realizaci větších obchodů na OTE. Z nižších marží na velkoobchodním trhu pak profituje zákazník nižšími koncovými cenami. Při jednoduchém srovnání likvidnějších obchodních bodů v EU je jasně vidět, že platformy, kde se realizují obchody s vyššími objemy plynu, nabízejí nižší cenu za komoditu (i při očištění o cenu přepravy do ČR). Pro ilustraci uvádíme srovnání cen plynu na OTE a na NCG (Německo) v lednu 2017. Na NCG se v lednu 2017 zobchodovalo 149 TWh plynu, na OTE to během stejného období bylo 804 </w:t>
      </w:r>
      <w:proofErr w:type="spellStart"/>
      <w:r w:rsidRPr="003A5AA8">
        <w:rPr>
          <w:rFonts w:asciiTheme="minorHAnsi" w:hAnsiTheme="minorHAnsi"/>
        </w:rPr>
        <w:t>GWh</w:t>
      </w:r>
      <w:proofErr w:type="spellEnd"/>
      <w:r w:rsidRPr="003A5AA8">
        <w:rPr>
          <w:rFonts w:asciiTheme="minorHAnsi" w:hAnsiTheme="minorHAnsi"/>
        </w:rPr>
        <w:t xml:space="preserve">. Průměrný rozdíl mezi cenou na NCG a na OTE v tomto období činil 1,61 EUR/MWh. </w:t>
      </w:r>
    </w:p>
    <w:p w14:paraId="675EF60B" w14:textId="77777777" w:rsidR="00F21E67" w:rsidRPr="003A5AA8" w:rsidRDefault="00F21E67" w:rsidP="00F21E67">
      <w:pPr>
        <w:jc w:val="both"/>
        <w:rPr>
          <w:rFonts w:asciiTheme="minorHAnsi" w:hAnsiTheme="minorHAnsi"/>
        </w:rPr>
      </w:pPr>
    </w:p>
    <w:p w14:paraId="4111FF1B" w14:textId="77777777" w:rsidR="00F21E67" w:rsidRDefault="00F21E67" w:rsidP="00F21E67">
      <w:pPr>
        <w:jc w:val="both"/>
        <w:rPr>
          <w:rFonts w:asciiTheme="minorHAnsi" w:hAnsiTheme="minorHAnsi"/>
        </w:rPr>
      </w:pPr>
      <w:r w:rsidRPr="003A5AA8">
        <w:rPr>
          <w:rFonts w:asciiTheme="minorHAnsi" w:hAnsiTheme="minorHAnsi"/>
          <w:noProof/>
          <w:lang w:eastAsia="cs-CZ"/>
        </w:rPr>
        <w:drawing>
          <wp:inline distT="0" distB="0" distL="0" distR="0" wp14:anchorId="37F8663F" wp14:editId="4F775940">
            <wp:extent cx="4572000" cy="2743200"/>
            <wp:effectExtent l="0" t="0" r="0" b="0"/>
            <wp:docPr id="8" name="Graf 8"/>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14:paraId="6A7472FE" w14:textId="77777777" w:rsidR="00F21E67" w:rsidRDefault="00F21E67" w:rsidP="00F21E67">
      <w:pPr>
        <w:jc w:val="both"/>
        <w:rPr>
          <w:rFonts w:asciiTheme="minorHAnsi" w:hAnsiTheme="minorHAnsi"/>
        </w:rPr>
      </w:pPr>
    </w:p>
    <w:p w14:paraId="106C5F5B" w14:textId="77777777" w:rsidR="00F21E67" w:rsidRPr="003A5AA8" w:rsidRDefault="00F21E67" w:rsidP="00F21E67">
      <w:pPr>
        <w:jc w:val="both"/>
        <w:rPr>
          <w:rFonts w:asciiTheme="minorHAnsi" w:hAnsiTheme="minorHAnsi"/>
        </w:rPr>
      </w:pPr>
    </w:p>
    <w:p w14:paraId="2892DACF" w14:textId="77777777" w:rsidR="00F21E67" w:rsidRPr="003A5AA8" w:rsidRDefault="00F21E67" w:rsidP="00F21E67">
      <w:pPr>
        <w:jc w:val="both"/>
        <w:rPr>
          <w:rFonts w:asciiTheme="minorHAnsi" w:hAnsiTheme="minorHAnsi"/>
        </w:rPr>
      </w:pPr>
      <w:r w:rsidRPr="003A5AA8">
        <w:rPr>
          <w:rFonts w:asciiTheme="minorHAnsi" w:hAnsiTheme="minorHAnsi"/>
        </w:rPr>
        <w:t xml:space="preserve">Vyšší likvidita na OTE se projeví i snazším a levnějším přístupem k levné flexibilitě. Tato levná flexibilita pomůže obchodníkům vyrovnat rozdíly v očekávané spotřebě a popřípadě i pro systémové vyvažování odchylky. Z těchto nižších nákladů budou opět </w:t>
      </w:r>
      <w:proofErr w:type="spellStart"/>
      <w:r w:rsidRPr="003A5AA8">
        <w:rPr>
          <w:rFonts w:asciiTheme="minorHAnsi" w:hAnsiTheme="minorHAnsi"/>
        </w:rPr>
        <w:t>benefitovat</w:t>
      </w:r>
      <w:proofErr w:type="spellEnd"/>
      <w:r w:rsidRPr="003A5AA8">
        <w:rPr>
          <w:rFonts w:asciiTheme="minorHAnsi" w:hAnsiTheme="minorHAnsi"/>
        </w:rPr>
        <w:t xml:space="preserve"> koncoví zákazníci, neboť v konkurenčním prostředí se promítnou nižší náklady obchodníků do koncových cen zákazníků.</w:t>
      </w:r>
    </w:p>
    <w:p w14:paraId="24E10C3F" w14:textId="77777777" w:rsidR="00F21E67" w:rsidRPr="003A5AA8" w:rsidRDefault="00F21E67" w:rsidP="00F21E67">
      <w:pPr>
        <w:jc w:val="both"/>
        <w:rPr>
          <w:rFonts w:asciiTheme="minorHAnsi" w:hAnsiTheme="minorHAnsi"/>
        </w:rPr>
      </w:pPr>
      <w:r w:rsidRPr="003A5AA8">
        <w:rPr>
          <w:rFonts w:asciiTheme="minorHAnsi" w:hAnsiTheme="minorHAnsi"/>
        </w:rPr>
        <w:t xml:space="preserve">Umožněním snazšího převodu plynu ze zásobníku na VOB také dojde ke snížení cenových špiček na OTE. Díky vyšší ochotě obchodníků reagovat a nižší související administrativě totiž při vyšších cenách na OTE může ukladatel dodat plyn na OTE v množství, které je zapotřebí a obnoví tak rovnováhu nabídky a poptávky, což povede ke snížení ceny. </w:t>
      </w:r>
    </w:p>
    <w:p w14:paraId="689F8694" w14:textId="77777777" w:rsidR="00F21E67" w:rsidRDefault="00F21E67" w:rsidP="00F21E67">
      <w:pPr>
        <w:jc w:val="both"/>
        <w:rPr>
          <w:rFonts w:asciiTheme="minorHAnsi" w:hAnsiTheme="minorHAnsi"/>
        </w:rPr>
      </w:pPr>
      <w:r w:rsidRPr="003A5AA8">
        <w:rPr>
          <w:rFonts w:asciiTheme="minorHAnsi" w:hAnsiTheme="minorHAnsi"/>
        </w:rPr>
        <w:t>V neposlední řadě dojde také vyšší likviditou OTE ke zjednodušení nákupu plynu pro obchodníky – nebudou muset nakupovat v Německu, ale přímo na VOB. Tento fakt velmi zjednoduší podnikání v dodávkách plynu pro koncové spotřebitele. Významně totiž sníží nejen náklady na přepravu, ale především kapitálové zajištění přepravy a odborné i jazykové znalosti potřebné pro nákup plynu v zahraničí. Lze předpokládat, že toto významné snížení bariéry pro vstup do podnikání na trhu s plynem povede ke vzniku nových dodavatelů a tím pádem k vyšší konkurenci na trhu dodavatelů plynu pro koncové zákazníky. Likvidnější VOB může zvýšit také zájem zahraničních obchodníků obchodovat a vyrovnávat své pozice na VOV a tím dále posílit jeho likviditu.</w:t>
      </w:r>
    </w:p>
    <w:p w14:paraId="51B61D5D" w14:textId="77777777" w:rsidR="00F21E67" w:rsidRPr="003A5AA8" w:rsidRDefault="00F21E67" w:rsidP="00E83EDC">
      <w:pPr>
        <w:pStyle w:val="odpoved"/>
        <w:spacing w:after="0"/>
        <w:ind w:left="0"/>
        <w:contextualSpacing w:val="0"/>
        <w:rPr>
          <w:rFonts w:asciiTheme="minorHAnsi" w:hAnsiTheme="minorHAnsi"/>
          <w:i w:val="0"/>
          <w:color w:val="auto"/>
        </w:rPr>
      </w:pPr>
    </w:p>
    <w:p w14:paraId="6E6F5A92" w14:textId="2B10A927" w:rsidR="005334A5" w:rsidRPr="003A5AA8" w:rsidRDefault="005334A5" w:rsidP="00E83EDC">
      <w:pPr>
        <w:pStyle w:val="Nadpis1"/>
      </w:pPr>
      <w:bookmarkStart w:id="12" w:name="_Toc477323761"/>
      <w:proofErr w:type="spellStart"/>
      <w:r w:rsidRPr="003A5AA8">
        <w:lastRenderedPageBreak/>
        <w:t>Cost</w:t>
      </w:r>
      <w:proofErr w:type="spellEnd"/>
      <w:r w:rsidRPr="003A5AA8">
        <w:t>-benefit analýza</w:t>
      </w:r>
      <w:r w:rsidR="00122B24" w:rsidRPr="003A5AA8">
        <w:t xml:space="preserve"> pokročilé </w:t>
      </w:r>
      <w:proofErr w:type="spellStart"/>
      <w:r w:rsidR="00122B24" w:rsidRPr="003A5AA8">
        <w:t>virtualizace</w:t>
      </w:r>
      <w:proofErr w:type="spellEnd"/>
      <w:r w:rsidR="00122B24" w:rsidRPr="003A5AA8">
        <w:t xml:space="preserve"> pro jednotlivé účastníky trhu</w:t>
      </w:r>
      <w:r w:rsidR="005A4231">
        <w:t xml:space="preserve"> s plynem</w:t>
      </w:r>
      <w:bookmarkEnd w:id="12"/>
    </w:p>
    <w:p w14:paraId="55502F80" w14:textId="77777777" w:rsidR="007978DF" w:rsidRPr="003A5AA8" w:rsidRDefault="007978DF" w:rsidP="00E83EDC">
      <w:pPr>
        <w:pStyle w:val="odpoved"/>
        <w:keepNext/>
        <w:spacing w:before="120" w:after="0"/>
        <w:ind w:left="0"/>
        <w:contextualSpacing w:val="0"/>
        <w:rPr>
          <w:rFonts w:asciiTheme="minorHAnsi" w:hAnsiTheme="minorHAnsi"/>
          <w:b/>
          <w:i w:val="0"/>
          <w:color w:val="auto"/>
        </w:rPr>
      </w:pPr>
      <w:r w:rsidRPr="003A5AA8">
        <w:rPr>
          <w:rFonts w:asciiTheme="minorHAnsi" w:hAnsiTheme="minorHAnsi"/>
          <w:b/>
          <w:i w:val="0"/>
          <w:color w:val="auto"/>
        </w:rPr>
        <w:t>TSO, OTE, DSO</w:t>
      </w:r>
    </w:p>
    <w:p w14:paraId="41BE220F" w14:textId="0D35C3DC" w:rsidR="005334A5" w:rsidRPr="003A5AA8" w:rsidRDefault="005334A5" w:rsidP="00E83EDC">
      <w:pPr>
        <w:pStyle w:val="odpoved"/>
        <w:spacing w:after="0"/>
        <w:ind w:left="0"/>
        <w:contextualSpacing w:val="0"/>
        <w:rPr>
          <w:rFonts w:asciiTheme="minorHAnsi" w:hAnsiTheme="minorHAnsi"/>
          <w:i w:val="0"/>
          <w:color w:val="auto"/>
        </w:rPr>
      </w:pPr>
      <w:r w:rsidRPr="003A5AA8">
        <w:rPr>
          <w:rFonts w:asciiTheme="minorHAnsi" w:hAnsiTheme="minorHAnsi"/>
          <w:i w:val="0"/>
          <w:color w:val="auto"/>
        </w:rPr>
        <w:t xml:space="preserve">Kvantitativní analýza dopadu na </w:t>
      </w:r>
      <w:r w:rsidR="00863AEB" w:rsidRPr="003A5AA8">
        <w:rPr>
          <w:rFonts w:asciiTheme="minorHAnsi" w:hAnsiTheme="minorHAnsi"/>
          <w:i w:val="0"/>
          <w:color w:val="auto"/>
        </w:rPr>
        <w:t>TSO, OTE, DSO</w:t>
      </w:r>
      <w:r w:rsidRPr="003A5AA8">
        <w:rPr>
          <w:rFonts w:asciiTheme="minorHAnsi" w:hAnsiTheme="minorHAnsi"/>
          <w:i w:val="0"/>
          <w:color w:val="auto"/>
        </w:rPr>
        <w:t xml:space="preserve"> je pro tento návrh jednoduchá. Očekávaný finanční dopad na </w:t>
      </w:r>
      <w:r w:rsidR="00863AEB" w:rsidRPr="003A5AA8">
        <w:rPr>
          <w:rFonts w:asciiTheme="minorHAnsi" w:hAnsiTheme="minorHAnsi"/>
          <w:i w:val="0"/>
          <w:color w:val="auto"/>
        </w:rPr>
        <w:t xml:space="preserve">tyto účastníky trhu </w:t>
      </w:r>
      <w:r w:rsidRPr="003A5AA8">
        <w:rPr>
          <w:rFonts w:asciiTheme="minorHAnsi" w:hAnsiTheme="minorHAnsi"/>
          <w:i w:val="0"/>
          <w:color w:val="auto"/>
        </w:rPr>
        <w:t>je z principu návrhu nulový.</w:t>
      </w:r>
      <w:r w:rsidR="0010134F" w:rsidRPr="003A5AA8">
        <w:rPr>
          <w:rFonts w:asciiTheme="minorHAnsi" w:hAnsiTheme="minorHAnsi"/>
          <w:i w:val="0"/>
          <w:color w:val="auto"/>
        </w:rPr>
        <w:t xml:space="preserve"> </w:t>
      </w:r>
      <w:r w:rsidR="00A87E78" w:rsidRPr="003A5AA8">
        <w:rPr>
          <w:rFonts w:asciiTheme="minorHAnsi" w:hAnsiTheme="minorHAnsi"/>
          <w:i w:val="0"/>
          <w:color w:val="auto"/>
        </w:rPr>
        <w:t>U</w:t>
      </w:r>
      <w:r w:rsidR="0010134F" w:rsidRPr="003A5AA8">
        <w:rPr>
          <w:rFonts w:asciiTheme="minorHAnsi" w:hAnsiTheme="minorHAnsi"/>
          <w:i w:val="0"/>
          <w:color w:val="auto"/>
        </w:rPr>
        <w:t>vedení návrhu do praxe si vyžádá úpravu systému OTE spojenou se zaveden</w:t>
      </w:r>
      <w:r w:rsidR="00A87E78" w:rsidRPr="003A5AA8">
        <w:rPr>
          <w:rFonts w:asciiTheme="minorHAnsi" w:hAnsiTheme="minorHAnsi"/>
          <w:i w:val="0"/>
          <w:color w:val="auto"/>
        </w:rPr>
        <w:t xml:space="preserve">ím nového typu nominace, k čemuž bude zapotřebí jednorázová finanční investice. Změna se také promítne do úpravy vzorců finančního zajištění a do obchodních podmínek OTE. </w:t>
      </w:r>
    </w:p>
    <w:p w14:paraId="5229AEFA" w14:textId="7CE5B392" w:rsidR="00863AEB" w:rsidRPr="003A5AA8" w:rsidRDefault="00863AEB" w:rsidP="00E83EDC">
      <w:pPr>
        <w:pStyle w:val="odpoved"/>
        <w:keepNext/>
        <w:spacing w:before="120" w:after="0"/>
        <w:ind w:left="0"/>
        <w:contextualSpacing w:val="0"/>
        <w:rPr>
          <w:rFonts w:asciiTheme="minorHAnsi" w:hAnsiTheme="minorHAnsi"/>
          <w:b/>
          <w:i w:val="0"/>
          <w:color w:val="auto"/>
        </w:rPr>
      </w:pPr>
      <w:r w:rsidRPr="003A5AA8">
        <w:rPr>
          <w:rFonts w:asciiTheme="minorHAnsi" w:hAnsiTheme="minorHAnsi"/>
          <w:b/>
          <w:i w:val="0"/>
          <w:color w:val="auto"/>
        </w:rPr>
        <w:t>SSO</w:t>
      </w:r>
    </w:p>
    <w:p w14:paraId="5F6758EE" w14:textId="473E5A66" w:rsidR="007978DF" w:rsidRPr="003A5AA8" w:rsidRDefault="007978DF" w:rsidP="00E83EDC">
      <w:pPr>
        <w:pStyle w:val="odpoved"/>
        <w:spacing w:after="0"/>
        <w:ind w:left="0"/>
        <w:contextualSpacing w:val="0"/>
        <w:rPr>
          <w:rFonts w:asciiTheme="minorHAnsi" w:hAnsiTheme="minorHAnsi"/>
          <w:i w:val="0"/>
          <w:color w:val="auto"/>
        </w:rPr>
      </w:pPr>
      <w:r w:rsidRPr="003A5AA8">
        <w:rPr>
          <w:rFonts w:asciiTheme="minorHAnsi" w:hAnsiTheme="minorHAnsi"/>
          <w:i w:val="0"/>
          <w:color w:val="auto"/>
        </w:rPr>
        <w:t xml:space="preserve">Z pohledu </w:t>
      </w:r>
      <w:r w:rsidR="00071E2A" w:rsidRPr="003A5AA8">
        <w:rPr>
          <w:rFonts w:asciiTheme="minorHAnsi" w:hAnsiTheme="minorHAnsi"/>
          <w:i w:val="0"/>
          <w:color w:val="auto"/>
        </w:rPr>
        <w:t xml:space="preserve">SSO by se jednalo o pozitivní změnu snižující </w:t>
      </w:r>
      <w:r w:rsidR="00710CA3" w:rsidRPr="003A5AA8">
        <w:rPr>
          <w:rFonts w:asciiTheme="minorHAnsi" w:hAnsiTheme="minorHAnsi"/>
          <w:i w:val="0"/>
          <w:color w:val="auto"/>
        </w:rPr>
        <w:t xml:space="preserve">vedlejší </w:t>
      </w:r>
      <w:r w:rsidR="00071E2A" w:rsidRPr="003A5AA8">
        <w:rPr>
          <w:rFonts w:asciiTheme="minorHAnsi" w:hAnsiTheme="minorHAnsi"/>
          <w:i w:val="0"/>
          <w:color w:val="auto"/>
        </w:rPr>
        <w:t xml:space="preserve">náklady související se skladováním a tedy </w:t>
      </w:r>
      <w:r w:rsidR="00710CA3" w:rsidRPr="003A5AA8">
        <w:rPr>
          <w:rFonts w:asciiTheme="minorHAnsi" w:hAnsiTheme="minorHAnsi"/>
          <w:i w:val="0"/>
          <w:color w:val="auto"/>
        </w:rPr>
        <w:t xml:space="preserve">snižující bariéru pro skladování. Ve svém důsledku lze očekávat </w:t>
      </w:r>
      <w:r w:rsidR="00071E2A" w:rsidRPr="003A5AA8">
        <w:rPr>
          <w:rFonts w:asciiTheme="minorHAnsi" w:hAnsiTheme="minorHAnsi"/>
          <w:i w:val="0"/>
          <w:color w:val="auto"/>
        </w:rPr>
        <w:t xml:space="preserve">zvyšující </w:t>
      </w:r>
      <w:r w:rsidR="00710CA3" w:rsidRPr="003A5AA8">
        <w:rPr>
          <w:rFonts w:asciiTheme="minorHAnsi" w:hAnsiTheme="minorHAnsi"/>
          <w:i w:val="0"/>
          <w:color w:val="auto"/>
        </w:rPr>
        <w:t xml:space="preserve">se </w:t>
      </w:r>
      <w:r w:rsidR="00071E2A" w:rsidRPr="003A5AA8">
        <w:rPr>
          <w:rFonts w:asciiTheme="minorHAnsi" w:hAnsiTheme="minorHAnsi"/>
          <w:i w:val="0"/>
          <w:color w:val="auto"/>
        </w:rPr>
        <w:t>ochotu obchodníků/skladovatelů využívat služby skladování v</w:t>
      </w:r>
      <w:r w:rsidR="00710CA3" w:rsidRPr="003A5AA8">
        <w:rPr>
          <w:rFonts w:asciiTheme="minorHAnsi" w:hAnsiTheme="minorHAnsi"/>
          <w:i w:val="0"/>
          <w:color w:val="auto"/>
        </w:rPr>
        <w:t xml:space="preserve"> ČR</w:t>
      </w:r>
      <w:r w:rsidR="00071E2A" w:rsidRPr="003A5AA8">
        <w:rPr>
          <w:rFonts w:asciiTheme="minorHAnsi" w:hAnsiTheme="minorHAnsi"/>
          <w:i w:val="0"/>
          <w:color w:val="auto"/>
        </w:rPr>
        <w:t xml:space="preserve"> a platit za ně.</w:t>
      </w:r>
      <w:r w:rsidR="00834B59" w:rsidRPr="003A5AA8">
        <w:rPr>
          <w:rFonts w:asciiTheme="minorHAnsi" w:hAnsiTheme="minorHAnsi"/>
          <w:i w:val="0"/>
          <w:color w:val="auto"/>
        </w:rPr>
        <w:t xml:space="preserve"> Nižší celkové náklady na skladování by se mohly následně nepřímo projevit skrze vyšší poptávku a aktivnější účast v aukcích. Očekáváme, že vyšší poptávka bude mít do budoucna pozitivní dopad na SSO. </w:t>
      </w:r>
      <w:r w:rsidR="00071E2A" w:rsidRPr="003A5AA8">
        <w:rPr>
          <w:rFonts w:asciiTheme="minorHAnsi" w:hAnsiTheme="minorHAnsi"/>
          <w:i w:val="0"/>
          <w:color w:val="auto"/>
        </w:rPr>
        <w:t xml:space="preserve"> </w:t>
      </w:r>
    </w:p>
    <w:p w14:paraId="044ADAC7" w14:textId="5F8A89A4" w:rsidR="00863AEB" w:rsidRPr="003A5AA8" w:rsidRDefault="00863AEB" w:rsidP="00E83EDC">
      <w:pPr>
        <w:pStyle w:val="odpoved"/>
        <w:keepNext/>
        <w:spacing w:before="120" w:after="0"/>
        <w:ind w:left="0"/>
        <w:contextualSpacing w:val="0"/>
        <w:rPr>
          <w:rFonts w:asciiTheme="minorHAnsi" w:hAnsiTheme="minorHAnsi"/>
          <w:b/>
          <w:i w:val="0"/>
          <w:color w:val="auto"/>
        </w:rPr>
      </w:pPr>
      <w:r w:rsidRPr="003A5AA8">
        <w:rPr>
          <w:rFonts w:asciiTheme="minorHAnsi" w:hAnsiTheme="minorHAnsi"/>
          <w:b/>
          <w:i w:val="0"/>
          <w:color w:val="auto"/>
        </w:rPr>
        <w:t>Obchodníci</w:t>
      </w:r>
    </w:p>
    <w:p w14:paraId="4F15BEC7" w14:textId="3E1EC89B" w:rsidR="007978DF" w:rsidRPr="003A5AA8" w:rsidRDefault="007978DF" w:rsidP="00E83EDC">
      <w:pPr>
        <w:pStyle w:val="odpoved"/>
        <w:spacing w:after="0"/>
        <w:ind w:left="0"/>
        <w:contextualSpacing w:val="0"/>
        <w:rPr>
          <w:rFonts w:asciiTheme="minorHAnsi" w:hAnsiTheme="minorHAnsi"/>
          <w:i w:val="0"/>
          <w:color w:val="auto"/>
        </w:rPr>
      </w:pPr>
      <w:r w:rsidRPr="003A5AA8">
        <w:rPr>
          <w:rFonts w:asciiTheme="minorHAnsi" w:hAnsiTheme="minorHAnsi"/>
          <w:i w:val="0"/>
          <w:color w:val="auto"/>
        </w:rPr>
        <w:t xml:space="preserve">Z pohledu obchodníků/skladovatelů dojde k zlevnění skladování na roční bázi i na bázi denních nákladů příležitosti s odstraněním povinnosti rezervovat přepravní kapacitu z/do zásobníku a zrušením jejího zpoplatnění fixní sazbou i sazbou za přepravený objem. </w:t>
      </w:r>
      <w:r w:rsidR="00863AEB" w:rsidRPr="003A5AA8">
        <w:rPr>
          <w:rFonts w:asciiTheme="minorHAnsi" w:hAnsiTheme="minorHAnsi"/>
          <w:i w:val="0"/>
          <w:color w:val="auto"/>
        </w:rPr>
        <w:t xml:space="preserve">Důsledkem by měla být vyšší likvidita na VOB, tedy snížení nákladů obchodování, nákladů obchodního i systémového vyvažování a strategií využívajících obchodní arbitráže s využitím virtuálního zásobníku. </w:t>
      </w:r>
      <w:r w:rsidRPr="003A5AA8">
        <w:rPr>
          <w:rFonts w:asciiTheme="minorHAnsi" w:hAnsiTheme="minorHAnsi"/>
          <w:i w:val="0"/>
          <w:color w:val="auto"/>
        </w:rPr>
        <w:t xml:space="preserve">Naopak podle zvolené varianty zachování regulovaných výnosů TSO </w:t>
      </w:r>
      <w:r w:rsidR="00863AEB" w:rsidRPr="003A5AA8">
        <w:rPr>
          <w:rFonts w:asciiTheme="minorHAnsi" w:hAnsiTheme="minorHAnsi"/>
          <w:i w:val="0"/>
          <w:color w:val="auto"/>
        </w:rPr>
        <w:t xml:space="preserve">může </w:t>
      </w:r>
      <w:r w:rsidRPr="003A5AA8">
        <w:rPr>
          <w:rFonts w:asciiTheme="minorHAnsi" w:hAnsiTheme="minorHAnsi"/>
          <w:i w:val="0"/>
          <w:color w:val="auto"/>
        </w:rPr>
        <w:t>doj</w:t>
      </w:r>
      <w:r w:rsidR="00863AEB" w:rsidRPr="003A5AA8">
        <w:rPr>
          <w:rFonts w:asciiTheme="minorHAnsi" w:hAnsiTheme="minorHAnsi"/>
          <w:i w:val="0"/>
          <w:color w:val="auto"/>
        </w:rPr>
        <w:t>ít</w:t>
      </w:r>
      <w:r w:rsidRPr="003A5AA8">
        <w:rPr>
          <w:rFonts w:asciiTheme="minorHAnsi" w:hAnsiTheme="minorHAnsi"/>
          <w:i w:val="0"/>
          <w:color w:val="auto"/>
        </w:rPr>
        <w:t xml:space="preserve"> k relativnímu zdražení vstupu zemního plynu ze zahraničí a/nebo jeho výstupu ke konečným zákazníkům</w:t>
      </w:r>
      <w:r w:rsidR="00017E4E" w:rsidRPr="003A5AA8">
        <w:rPr>
          <w:rFonts w:asciiTheme="minorHAnsi" w:hAnsiTheme="minorHAnsi"/>
          <w:i w:val="0"/>
          <w:color w:val="auto"/>
        </w:rPr>
        <w:t xml:space="preserve">, který by se projevil </w:t>
      </w:r>
      <w:r w:rsidR="00862718" w:rsidRPr="003A5AA8">
        <w:rPr>
          <w:rFonts w:asciiTheme="minorHAnsi" w:hAnsiTheme="minorHAnsi"/>
          <w:i w:val="0"/>
          <w:color w:val="auto"/>
        </w:rPr>
        <w:t xml:space="preserve">přímo </w:t>
      </w:r>
      <w:r w:rsidR="00017E4E" w:rsidRPr="003A5AA8">
        <w:rPr>
          <w:rFonts w:asciiTheme="minorHAnsi" w:hAnsiTheme="minorHAnsi"/>
          <w:i w:val="0"/>
          <w:color w:val="auto"/>
        </w:rPr>
        <w:t>v cenách DSO pro koncové zákazníky</w:t>
      </w:r>
      <w:r w:rsidR="00862718" w:rsidRPr="003A5AA8">
        <w:rPr>
          <w:rFonts w:asciiTheme="minorHAnsi" w:hAnsiTheme="minorHAnsi"/>
          <w:i w:val="0"/>
          <w:color w:val="auto"/>
        </w:rPr>
        <w:t xml:space="preserve"> a nedotknul se přímo obchodníků</w:t>
      </w:r>
      <w:r w:rsidRPr="003A5AA8">
        <w:rPr>
          <w:rFonts w:asciiTheme="minorHAnsi" w:hAnsiTheme="minorHAnsi"/>
          <w:i w:val="0"/>
          <w:color w:val="auto"/>
        </w:rPr>
        <w:t>.</w:t>
      </w:r>
    </w:p>
    <w:p w14:paraId="2C9A249C" w14:textId="77777777" w:rsidR="00DF3526" w:rsidRPr="003A5AA8" w:rsidRDefault="00863AEB" w:rsidP="00E83EDC">
      <w:pPr>
        <w:pStyle w:val="odpoved"/>
        <w:spacing w:after="0"/>
        <w:ind w:left="0"/>
        <w:contextualSpacing w:val="0"/>
        <w:rPr>
          <w:rFonts w:asciiTheme="minorHAnsi" w:hAnsiTheme="minorHAnsi"/>
          <w:i w:val="0"/>
          <w:color w:val="auto"/>
        </w:rPr>
      </w:pPr>
      <w:r w:rsidRPr="003A5AA8">
        <w:rPr>
          <w:rFonts w:asciiTheme="minorHAnsi" w:hAnsiTheme="minorHAnsi"/>
          <w:i w:val="0"/>
          <w:color w:val="auto"/>
        </w:rPr>
        <w:t>Dopad na jednotlivé obchodníky tedy bude velmi individuální v závislosti na prováděných transakcích a typu zákaznického portfolia a je těžké jej obecně charakterizovat. Mělo by dojít ke zvýšení atraktivity využívání zásobníku v ČR oproti dovozu flexibility ze zahraničí.</w:t>
      </w:r>
    </w:p>
    <w:p w14:paraId="43CAE4D8" w14:textId="7433368D" w:rsidR="00DF3526" w:rsidRPr="003A5AA8" w:rsidRDefault="00DF3526" w:rsidP="00E83EDC">
      <w:pPr>
        <w:pStyle w:val="odpoved"/>
        <w:spacing w:after="0"/>
        <w:ind w:left="0"/>
        <w:contextualSpacing w:val="0"/>
        <w:rPr>
          <w:rFonts w:asciiTheme="minorHAnsi" w:hAnsiTheme="minorHAnsi"/>
          <w:i w:val="0"/>
          <w:color w:val="auto"/>
        </w:rPr>
      </w:pPr>
      <w:r w:rsidRPr="003A5AA8">
        <w:rPr>
          <w:rFonts w:asciiTheme="minorHAnsi" w:hAnsiTheme="minorHAnsi"/>
          <w:i w:val="0"/>
          <w:color w:val="auto"/>
        </w:rPr>
        <w:t>Obchodníci držící stávající skladovací smlouvy by v navrhované variantě pro následující období ušetřili dodatečné náklady skladování související se zrušenou nutností rezervace přepravní kapacity z/do virtuálního zásobníku, nicméně by samozřejmě čelili kompenzujícím platbám zajišťujícím zachování regulovaných výnosů TSO (např. uvažované navýšení vstupních hraničních tarifů). U nových skladovacích smluv</w:t>
      </w:r>
      <w:r w:rsidR="00766C87" w:rsidRPr="003A5AA8">
        <w:rPr>
          <w:rFonts w:asciiTheme="minorHAnsi" w:hAnsiTheme="minorHAnsi"/>
          <w:i w:val="0"/>
          <w:color w:val="auto"/>
        </w:rPr>
        <w:t xml:space="preserve"> uzavřených po implementaci navrhovaných změn</w:t>
      </w:r>
      <w:r w:rsidRPr="003A5AA8">
        <w:rPr>
          <w:rFonts w:asciiTheme="minorHAnsi" w:hAnsiTheme="minorHAnsi"/>
          <w:i w:val="0"/>
          <w:color w:val="auto"/>
        </w:rPr>
        <w:t>, by hodnocení finančního dopadu zavedené změny záviselo navíc na promítnutí nové situace do výše aukčních cen za rezervaci skladovací kapacity.</w:t>
      </w:r>
    </w:p>
    <w:p w14:paraId="02D78B10" w14:textId="3AF5EAD2" w:rsidR="00071E2A" w:rsidRPr="003A5AA8" w:rsidRDefault="00DF3526" w:rsidP="00E83EDC">
      <w:pPr>
        <w:pStyle w:val="odpoved"/>
        <w:spacing w:after="0"/>
        <w:ind w:left="0"/>
        <w:contextualSpacing w:val="0"/>
        <w:rPr>
          <w:rFonts w:asciiTheme="minorHAnsi" w:hAnsiTheme="minorHAnsi"/>
          <w:i w:val="0"/>
          <w:color w:val="auto"/>
        </w:rPr>
      </w:pPr>
      <w:r w:rsidRPr="003A5AA8">
        <w:rPr>
          <w:rFonts w:asciiTheme="minorHAnsi" w:hAnsiTheme="minorHAnsi"/>
          <w:i w:val="0"/>
          <w:color w:val="auto"/>
        </w:rPr>
        <w:t xml:space="preserve">Způsob výběru kompenzujících výnosů TSO, tedy buď na přepravě formou vstupních hraničních tarifů a/nebo na výstupu na domácím bodě by ovlivnil distribuci přímých nákladů mezi obchodníka a spotřebitele. Zatímco obchodník přepravující ze zahraničí by přímo nesl náklady plynoucí ze zvýšení ceny přepravy na hraničních bodech, spotřebitel by byl přímo vystaven změně DSO tarifů zahrnujících </w:t>
      </w:r>
      <w:r w:rsidR="00766C87" w:rsidRPr="003A5AA8">
        <w:rPr>
          <w:rFonts w:asciiTheme="minorHAnsi" w:hAnsiTheme="minorHAnsi"/>
          <w:i w:val="0"/>
          <w:color w:val="auto"/>
        </w:rPr>
        <w:t xml:space="preserve">případné zvýšení </w:t>
      </w:r>
      <w:r w:rsidRPr="003A5AA8">
        <w:rPr>
          <w:rFonts w:asciiTheme="minorHAnsi" w:hAnsiTheme="minorHAnsi"/>
          <w:i w:val="0"/>
          <w:color w:val="auto"/>
        </w:rPr>
        <w:t>výstupní</w:t>
      </w:r>
      <w:r w:rsidR="00766C87" w:rsidRPr="003A5AA8">
        <w:rPr>
          <w:rFonts w:asciiTheme="minorHAnsi" w:hAnsiTheme="minorHAnsi"/>
          <w:i w:val="0"/>
          <w:color w:val="auto"/>
        </w:rPr>
        <w:t>ho</w:t>
      </w:r>
      <w:r w:rsidRPr="003A5AA8">
        <w:rPr>
          <w:rFonts w:asciiTheme="minorHAnsi" w:hAnsiTheme="minorHAnsi"/>
          <w:i w:val="0"/>
          <w:color w:val="auto"/>
        </w:rPr>
        <w:t xml:space="preserve"> tarif </w:t>
      </w:r>
      <w:r w:rsidR="00766C87" w:rsidRPr="003A5AA8">
        <w:rPr>
          <w:rFonts w:asciiTheme="minorHAnsi" w:hAnsiTheme="minorHAnsi"/>
          <w:i w:val="0"/>
          <w:color w:val="auto"/>
        </w:rPr>
        <w:t>TSO na domácím bodě.</w:t>
      </w:r>
    </w:p>
    <w:p w14:paraId="6C9CB918" w14:textId="759F6262" w:rsidR="00863AEB" w:rsidRPr="003A5AA8" w:rsidRDefault="00863AEB" w:rsidP="00E83EDC">
      <w:pPr>
        <w:pStyle w:val="odpoved"/>
        <w:spacing w:after="0"/>
        <w:ind w:left="0"/>
        <w:contextualSpacing w:val="0"/>
        <w:rPr>
          <w:rFonts w:asciiTheme="minorHAnsi" w:hAnsiTheme="minorHAnsi"/>
          <w:i w:val="0"/>
          <w:color w:val="auto"/>
        </w:rPr>
      </w:pPr>
      <w:r w:rsidRPr="003A5AA8">
        <w:rPr>
          <w:rFonts w:asciiTheme="minorHAnsi" w:hAnsiTheme="minorHAnsi"/>
          <w:i w:val="0"/>
          <w:color w:val="auto"/>
        </w:rPr>
        <w:t xml:space="preserve">Je důležité si </w:t>
      </w:r>
      <w:r w:rsidR="00766C87" w:rsidRPr="003A5AA8">
        <w:rPr>
          <w:rFonts w:asciiTheme="minorHAnsi" w:hAnsiTheme="minorHAnsi"/>
          <w:i w:val="0"/>
          <w:color w:val="auto"/>
        </w:rPr>
        <w:t xml:space="preserve">však </w:t>
      </w:r>
      <w:r w:rsidRPr="003A5AA8">
        <w:rPr>
          <w:rFonts w:asciiTheme="minorHAnsi" w:hAnsiTheme="minorHAnsi"/>
          <w:i w:val="0"/>
          <w:color w:val="auto"/>
        </w:rPr>
        <w:t xml:space="preserve">uvědomit, že se stále bavíme </w:t>
      </w:r>
      <w:r w:rsidR="00766C87" w:rsidRPr="003A5AA8">
        <w:rPr>
          <w:rFonts w:asciiTheme="minorHAnsi" w:hAnsiTheme="minorHAnsi"/>
          <w:i w:val="0"/>
          <w:color w:val="auto"/>
        </w:rPr>
        <w:t xml:space="preserve">v celku </w:t>
      </w:r>
      <w:r w:rsidRPr="003A5AA8">
        <w:rPr>
          <w:rFonts w:asciiTheme="minorHAnsi" w:hAnsiTheme="minorHAnsi"/>
          <w:i w:val="0"/>
          <w:color w:val="auto"/>
        </w:rPr>
        <w:t>o realokaci pouze cca 5 %</w:t>
      </w:r>
      <w:r w:rsidR="00071E2A" w:rsidRPr="003A5AA8">
        <w:rPr>
          <w:rFonts w:asciiTheme="minorHAnsi" w:hAnsiTheme="minorHAnsi"/>
          <w:i w:val="0"/>
          <w:color w:val="auto"/>
        </w:rPr>
        <w:t xml:space="preserve"> regulovaných výnosů TSO a obchodníci budou mít v případě nutnosti možnost svou změněnou strukturu nákladů případně promítnout i do produktů nabízených jiným obchodníkům nebo koncovým zákazníkům.</w:t>
      </w:r>
    </w:p>
    <w:p w14:paraId="74A6AC2A" w14:textId="77777777" w:rsidR="00F21E67" w:rsidRPr="003A5AA8" w:rsidRDefault="00F21E67" w:rsidP="00F21E67">
      <w:pPr>
        <w:pStyle w:val="odpoved"/>
        <w:keepNext/>
        <w:spacing w:before="120" w:after="0"/>
        <w:ind w:left="0"/>
        <w:contextualSpacing w:val="0"/>
        <w:rPr>
          <w:rFonts w:asciiTheme="minorHAnsi" w:hAnsiTheme="minorHAnsi"/>
          <w:b/>
          <w:i w:val="0"/>
          <w:color w:val="auto"/>
        </w:rPr>
      </w:pPr>
      <w:r w:rsidRPr="003A5AA8">
        <w:rPr>
          <w:rFonts w:asciiTheme="minorHAnsi" w:hAnsiTheme="minorHAnsi"/>
          <w:b/>
          <w:i w:val="0"/>
          <w:color w:val="auto"/>
        </w:rPr>
        <w:lastRenderedPageBreak/>
        <w:t>Spotřebitelé</w:t>
      </w:r>
    </w:p>
    <w:p w14:paraId="3927CD75" w14:textId="77777777" w:rsidR="00F21E67" w:rsidRPr="003A5AA8" w:rsidRDefault="00F21E67" w:rsidP="00F21E67">
      <w:pPr>
        <w:pStyle w:val="odpoved"/>
        <w:spacing w:after="0"/>
        <w:ind w:left="0"/>
        <w:contextualSpacing w:val="0"/>
        <w:rPr>
          <w:rFonts w:asciiTheme="minorHAnsi" w:hAnsiTheme="minorHAnsi"/>
          <w:i w:val="0"/>
          <w:color w:val="auto"/>
        </w:rPr>
      </w:pPr>
      <w:r w:rsidRPr="003A5AA8">
        <w:rPr>
          <w:rFonts w:asciiTheme="minorHAnsi" w:hAnsiTheme="minorHAnsi"/>
          <w:i w:val="0"/>
          <w:color w:val="auto"/>
        </w:rPr>
        <w:t>Pro kvantifikaci z pohledu spotřebitele byla velikost přerozdělení výnosů TSO mezi jednotlivými body vyčíslena výše na cca 5 % všech regulovaných přepravních výnosů, což činní cca 0,05 % koncové ceny zemního plynu. Protože se jedná o přerozdělení nákladů spojených pro spotřebitele se skladováním na náklady spojené se spotřebou(v závislosti na realokaci DSO)/dovozem, nikoliv o dodatečný výběr, půjde v praxi o nezaznamenatelnou položku rozpuštěnou mezi jinými vlivy (jako k </w:t>
      </w:r>
      <w:proofErr w:type="gramStart"/>
      <w:r w:rsidRPr="003A5AA8">
        <w:rPr>
          <w:rFonts w:asciiTheme="minorHAnsi" w:hAnsiTheme="minorHAnsi"/>
          <w:i w:val="0"/>
          <w:color w:val="auto"/>
        </w:rPr>
        <w:t>faktor</w:t>
      </w:r>
      <w:proofErr w:type="gramEnd"/>
      <w:r w:rsidRPr="003A5AA8">
        <w:rPr>
          <w:rFonts w:asciiTheme="minorHAnsi" w:hAnsiTheme="minorHAnsi"/>
          <w:i w:val="0"/>
          <w:color w:val="auto"/>
        </w:rPr>
        <w:t>, inflace). Přímý vliv na zákazníky by mohlo mít zvolení kompenzace výnosu TSO formou navýšení výstupního tarifu TSO na domácím bodě, který by byl promítnut do DSO sazeb, které jsou přímo účtovány spotřebitelům. Nicméně při efektivním fungování trhu by tato varianta znamenala dílčí snížení přímých nákladů obchodníků, jež by se mělo v konkurenčním prostředí promítnout do nižších nabízených komoditních cen dodávek spotřebitelům.</w:t>
      </w:r>
    </w:p>
    <w:p w14:paraId="4701C145" w14:textId="77777777" w:rsidR="00F21E67" w:rsidRPr="003A5AA8" w:rsidRDefault="00F21E67" w:rsidP="00F21E67">
      <w:pPr>
        <w:pStyle w:val="odpoved"/>
        <w:spacing w:after="0"/>
        <w:ind w:left="0"/>
        <w:contextualSpacing w:val="0"/>
        <w:rPr>
          <w:rFonts w:asciiTheme="minorHAnsi" w:hAnsiTheme="minorHAnsi"/>
          <w:i w:val="0"/>
          <w:color w:val="auto"/>
        </w:rPr>
      </w:pPr>
      <w:r w:rsidRPr="003A5AA8">
        <w:rPr>
          <w:rFonts w:asciiTheme="minorHAnsi" w:hAnsiTheme="minorHAnsi"/>
          <w:i w:val="0"/>
          <w:color w:val="auto"/>
        </w:rPr>
        <w:t>Zákazníci by měli mít do budoucna prospěch ze zvýšené likvidity na VOB, nižších nákladů obchodního i systémového vyvažování a zvýšení bezpečnosti dodávek plynoucí z vyššího využívání virtuálních zásobníků v ČR a zvýšení pravděpodobnosti zachování stávající kapacity zásobníků v ČR.</w:t>
      </w:r>
    </w:p>
    <w:p w14:paraId="7B3308F6" w14:textId="77777777" w:rsidR="001A579A" w:rsidRDefault="001A579A" w:rsidP="004E6219">
      <w:pPr>
        <w:jc w:val="both"/>
        <w:rPr>
          <w:rFonts w:asciiTheme="minorHAnsi" w:hAnsiTheme="minorHAnsi"/>
        </w:rPr>
      </w:pPr>
    </w:p>
    <w:p w14:paraId="5C854A48" w14:textId="77777777" w:rsidR="001A579A" w:rsidRPr="003A5AA8" w:rsidRDefault="001A579A" w:rsidP="001A579A">
      <w:pPr>
        <w:pStyle w:val="Nadpis1"/>
      </w:pPr>
      <w:bookmarkStart w:id="13" w:name="_Toc477323762"/>
      <w:r w:rsidRPr="003A5AA8">
        <w:t>Přínosy pro uživatele domácího bodu</w:t>
      </w:r>
      <w:bookmarkEnd w:id="13"/>
    </w:p>
    <w:p w14:paraId="38300EB4" w14:textId="77777777" w:rsidR="001A579A" w:rsidRPr="003A5AA8" w:rsidRDefault="001A579A" w:rsidP="001A579A">
      <w:pPr>
        <w:rPr>
          <w:rFonts w:asciiTheme="minorHAnsi" w:hAnsiTheme="minorHAnsi"/>
        </w:rPr>
      </w:pPr>
      <w:r w:rsidRPr="003A5AA8">
        <w:rPr>
          <w:rFonts w:asciiTheme="minorHAnsi" w:hAnsiTheme="minorHAnsi"/>
        </w:rPr>
        <w:t>Benefity pro uživatele domácího bodu:</w:t>
      </w:r>
    </w:p>
    <w:p w14:paraId="26B0F020" w14:textId="77777777" w:rsidR="001A579A" w:rsidRPr="003A5AA8" w:rsidRDefault="001A579A" w:rsidP="001A579A">
      <w:pPr>
        <w:pStyle w:val="Odstavecseseznamem"/>
        <w:numPr>
          <w:ilvl w:val="0"/>
          <w:numId w:val="20"/>
        </w:numPr>
        <w:spacing w:after="0"/>
        <w:rPr>
          <w:rFonts w:asciiTheme="minorHAnsi" w:hAnsiTheme="minorHAnsi"/>
          <w:i w:val="0"/>
        </w:rPr>
      </w:pPr>
      <w:r w:rsidRPr="003A5AA8">
        <w:rPr>
          <w:rFonts w:asciiTheme="minorHAnsi" w:hAnsiTheme="minorHAnsi"/>
          <w:i w:val="0"/>
        </w:rPr>
        <w:t>vyšší zabezpečení dodávek plynu ve stavu nouze</w:t>
      </w:r>
    </w:p>
    <w:p w14:paraId="6CF8CDAB" w14:textId="77777777" w:rsidR="001A579A" w:rsidRPr="003A5AA8" w:rsidRDefault="001A579A" w:rsidP="001A579A">
      <w:pPr>
        <w:pStyle w:val="Odstavecseseznamem"/>
        <w:numPr>
          <w:ilvl w:val="0"/>
          <w:numId w:val="20"/>
        </w:numPr>
        <w:spacing w:after="0"/>
        <w:rPr>
          <w:rFonts w:asciiTheme="minorHAnsi" w:hAnsiTheme="minorHAnsi"/>
          <w:i w:val="0"/>
        </w:rPr>
      </w:pPr>
      <w:r w:rsidRPr="003A5AA8">
        <w:rPr>
          <w:rFonts w:asciiTheme="minorHAnsi" w:hAnsiTheme="minorHAnsi"/>
          <w:i w:val="0"/>
        </w:rPr>
        <w:t>vyšší likvidita na OTE</w:t>
      </w:r>
    </w:p>
    <w:p w14:paraId="1FF7155B" w14:textId="77777777" w:rsidR="001A579A" w:rsidRPr="003A5AA8" w:rsidRDefault="001A579A" w:rsidP="001A579A">
      <w:pPr>
        <w:pStyle w:val="Odstavecseseznamem"/>
        <w:numPr>
          <w:ilvl w:val="0"/>
          <w:numId w:val="20"/>
        </w:numPr>
        <w:spacing w:after="0"/>
        <w:rPr>
          <w:rFonts w:asciiTheme="minorHAnsi" w:hAnsiTheme="minorHAnsi"/>
          <w:i w:val="0"/>
        </w:rPr>
      </w:pPr>
      <w:r w:rsidRPr="003A5AA8">
        <w:rPr>
          <w:rFonts w:asciiTheme="minorHAnsi" w:hAnsiTheme="minorHAnsi"/>
          <w:i w:val="0"/>
        </w:rPr>
        <w:t xml:space="preserve">potenciálně vyšší konkurence na trhu s plynem pro koncové zákazníky, pokud se likvidita na OTE zvýší natolik, že by obchodníci mohli nakupovat plyn pro svoje koncové zákazníky přímo na VOB </w:t>
      </w:r>
      <w:proofErr w:type="gramStart"/>
      <w:r w:rsidRPr="003A5AA8">
        <w:rPr>
          <w:rFonts w:asciiTheme="minorHAnsi" w:hAnsiTheme="minorHAnsi"/>
          <w:i w:val="0"/>
        </w:rPr>
        <w:t>namísto</w:t>
      </w:r>
      <w:proofErr w:type="gramEnd"/>
      <w:r w:rsidRPr="003A5AA8">
        <w:rPr>
          <w:rFonts w:asciiTheme="minorHAnsi" w:hAnsiTheme="minorHAnsi"/>
          <w:i w:val="0"/>
        </w:rPr>
        <w:t xml:space="preserve"> v Německu. Snížila by se tak totiž výrazně znalostní a kapitálová bariéra pro vstup na trh s plynem pro dodavatele plynu</w:t>
      </w:r>
    </w:p>
    <w:p w14:paraId="64FAFDD4" w14:textId="77777777" w:rsidR="001A579A" w:rsidRPr="003A5AA8" w:rsidRDefault="001A579A" w:rsidP="001A579A">
      <w:pPr>
        <w:pStyle w:val="Odstavecseseznamem"/>
        <w:numPr>
          <w:ilvl w:val="0"/>
          <w:numId w:val="20"/>
        </w:numPr>
        <w:spacing w:after="0"/>
        <w:rPr>
          <w:rFonts w:asciiTheme="minorHAnsi" w:hAnsiTheme="minorHAnsi"/>
          <w:i w:val="0"/>
        </w:rPr>
      </w:pPr>
      <w:r w:rsidRPr="003A5AA8">
        <w:rPr>
          <w:rFonts w:asciiTheme="minorHAnsi" w:hAnsiTheme="minorHAnsi"/>
          <w:i w:val="0"/>
        </w:rPr>
        <w:t>potenciálně nižší cena za komoditu ve střednědobém horizontu, pokud se likvidita na OTE zvýší natolik, aby vyšší zobchodované objemy přilákaly velké zahraniční hráče, kteří jsou schopni optimalizovat portfolio a snížit tak svoje náklady více než jiní obchodníci a mohou tak nabídnout nižší cenu a zároveň generovat příjmy z vyššího objemu transakcí</w:t>
      </w:r>
    </w:p>
    <w:p w14:paraId="0BE88995" w14:textId="77777777" w:rsidR="001A579A" w:rsidRPr="003A5AA8" w:rsidRDefault="001A579A" w:rsidP="001A579A">
      <w:pPr>
        <w:pStyle w:val="Odstavecseseznamem"/>
        <w:numPr>
          <w:ilvl w:val="0"/>
          <w:numId w:val="20"/>
        </w:numPr>
        <w:spacing w:after="0"/>
        <w:rPr>
          <w:rFonts w:asciiTheme="minorHAnsi" w:hAnsiTheme="minorHAnsi"/>
          <w:i w:val="0"/>
        </w:rPr>
      </w:pPr>
      <w:r w:rsidRPr="003A5AA8">
        <w:rPr>
          <w:rFonts w:asciiTheme="minorHAnsi" w:hAnsiTheme="minorHAnsi"/>
          <w:i w:val="0"/>
        </w:rPr>
        <w:t xml:space="preserve">s ohledem na významnou roli přepravního systému v ČR by vyšší likvidita na VOB mohla vést i v delším horizontu ke zvýšení důležitosti tohoto bodu z pohledu plynárenství v regionu střední a východní Evropy, kdy zapojení flexibility přímo na VOB by bylo cestou k likvidnímu </w:t>
      </w:r>
      <w:proofErr w:type="spellStart"/>
      <w:r w:rsidRPr="003A5AA8">
        <w:rPr>
          <w:rFonts w:asciiTheme="minorHAnsi" w:hAnsiTheme="minorHAnsi"/>
          <w:i w:val="0"/>
        </w:rPr>
        <w:t>HUBu</w:t>
      </w:r>
      <w:proofErr w:type="spellEnd"/>
    </w:p>
    <w:p w14:paraId="72F2CB41" w14:textId="77777777" w:rsidR="001A579A" w:rsidRPr="003A5AA8" w:rsidRDefault="001A579A" w:rsidP="001A579A">
      <w:pPr>
        <w:pStyle w:val="Odstavecseseznamem"/>
        <w:numPr>
          <w:ilvl w:val="0"/>
          <w:numId w:val="20"/>
        </w:numPr>
        <w:spacing w:after="0"/>
        <w:rPr>
          <w:rFonts w:asciiTheme="minorHAnsi" w:hAnsiTheme="minorHAnsi"/>
          <w:i w:val="0"/>
        </w:rPr>
      </w:pPr>
      <w:r w:rsidRPr="003A5AA8">
        <w:rPr>
          <w:rFonts w:asciiTheme="minorHAnsi" w:hAnsiTheme="minorHAnsi"/>
          <w:i w:val="0"/>
        </w:rPr>
        <w:t>potenciálně vyšší stabilitu při řízení plynárenské soustavy, kdy účastníci trhu by mohli lépe, levněji a vlastními silami bilancovat své odchylky a na TSO by dopadala menší reziduální odchylka. Pro stabilitu plynárenské soustavy je lepší, pokud je subjekt schopný bilancovat své odchylky prostřednictvím fyzických bodů (zásobníků), než zůstávat v odchylce a způsobovat pak vícenáklady provozovateli přepravní soustavy při řízení soustavy</w:t>
      </w:r>
    </w:p>
    <w:p w14:paraId="676C6A4E" w14:textId="77777777" w:rsidR="001A579A" w:rsidRPr="003A5AA8" w:rsidRDefault="001A579A" w:rsidP="001A579A">
      <w:pPr>
        <w:pStyle w:val="Odstavecseseznamem"/>
        <w:numPr>
          <w:ilvl w:val="0"/>
          <w:numId w:val="20"/>
        </w:numPr>
        <w:spacing w:after="0"/>
        <w:rPr>
          <w:rFonts w:asciiTheme="minorHAnsi" w:hAnsiTheme="minorHAnsi"/>
          <w:i w:val="0"/>
        </w:rPr>
      </w:pPr>
      <w:r w:rsidRPr="003A5AA8">
        <w:rPr>
          <w:rFonts w:asciiTheme="minorHAnsi" w:hAnsiTheme="minorHAnsi"/>
          <w:i w:val="0"/>
        </w:rPr>
        <w:t>snížení cenových špiček na OTE díky nižším nákladům příležitosti, tedy bez nutnosti rezervovat a platit krátkodobé tarify na přepravu, i rychlejšímu reakčnímu času ukladatelů při převedení plynu ze zásobníku a jeho zobchodování na OTE – plyn je na VOB k dispozici okamžitě</w:t>
      </w:r>
    </w:p>
    <w:p w14:paraId="06CAB0BF" w14:textId="77777777" w:rsidR="007978DF" w:rsidRPr="003A5AA8" w:rsidRDefault="007978DF" w:rsidP="00F87ABC">
      <w:pPr>
        <w:pStyle w:val="odpoved"/>
        <w:spacing w:before="120" w:after="0"/>
        <w:contextualSpacing w:val="0"/>
        <w:rPr>
          <w:rFonts w:asciiTheme="minorHAnsi" w:hAnsiTheme="minorHAnsi"/>
          <w:i w:val="0"/>
          <w:color w:val="auto"/>
        </w:rPr>
      </w:pPr>
    </w:p>
    <w:p w14:paraId="68ACC2E4" w14:textId="1B4B1DF0" w:rsidR="00DC6DF9" w:rsidRDefault="00DC6DF9" w:rsidP="00E83EDC">
      <w:pPr>
        <w:pStyle w:val="Nadpis1"/>
      </w:pPr>
      <w:bookmarkStart w:id="14" w:name="_Toc477323763"/>
      <w:r w:rsidRPr="003A5AA8">
        <w:lastRenderedPageBreak/>
        <w:t>SWOT analýza</w:t>
      </w:r>
      <w:r w:rsidR="00122B24" w:rsidRPr="003A5AA8">
        <w:t xml:space="preserve"> pokročilé virtualizace</w:t>
      </w:r>
      <w:bookmarkEnd w:id="14"/>
    </w:p>
    <w:p w14:paraId="68B3FCAD" w14:textId="77777777" w:rsidR="005A4231" w:rsidRPr="005A4231" w:rsidRDefault="005A4231" w:rsidP="005A4231"/>
    <w:tbl>
      <w:tblPr>
        <w:tblStyle w:val="Mkatabulky"/>
        <w:tblW w:w="0" w:type="auto"/>
        <w:tblInd w:w="720" w:type="dxa"/>
        <w:tblLook w:val="04A0" w:firstRow="1" w:lastRow="0" w:firstColumn="1" w:lastColumn="0" w:noHBand="0" w:noVBand="1"/>
      </w:tblPr>
      <w:tblGrid>
        <w:gridCol w:w="4237"/>
        <w:gridCol w:w="4105"/>
      </w:tblGrid>
      <w:tr w:rsidR="0005195A" w:rsidRPr="003A5AA8" w14:paraId="71A039C8" w14:textId="77777777" w:rsidTr="00F87ABC">
        <w:tc>
          <w:tcPr>
            <w:tcW w:w="4237" w:type="dxa"/>
          </w:tcPr>
          <w:p w14:paraId="46BD95D2" w14:textId="0E9D2E4A" w:rsidR="0009401A" w:rsidRPr="003A5AA8" w:rsidRDefault="0009401A" w:rsidP="00F87ABC">
            <w:pPr>
              <w:pStyle w:val="odpoved"/>
              <w:spacing w:after="0"/>
              <w:ind w:left="0"/>
              <w:contextualSpacing w:val="0"/>
              <w:rPr>
                <w:rFonts w:asciiTheme="minorHAnsi" w:hAnsiTheme="minorHAnsi"/>
                <w:i w:val="0"/>
                <w:color w:val="auto"/>
              </w:rPr>
            </w:pPr>
            <w:r w:rsidRPr="003A5AA8">
              <w:rPr>
                <w:rFonts w:asciiTheme="minorHAnsi" w:hAnsiTheme="minorHAnsi"/>
                <w:i w:val="0"/>
                <w:color w:val="auto"/>
              </w:rPr>
              <w:t>Silné stránky:</w:t>
            </w:r>
          </w:p>
          <w:p w14:paraId="3AB4105A" w14:textId="5A448611" w:rsidR="006A2641" w:rsidRPr="003A5AA8" w:rsidRDefault="006A2641" w:rsidP="00F87ABC">
            <w:pPr>
              <w:pStyle w:val="odpoved"/>
              <w:tabs>
                <w:tab w:val="left" w:pos="284"/>
              </w:tabs>
              <w:spacing w:after="0"/>
              <w:ind w:left="0"/>
              <w:contextualSpacing w:val="0"/>
              <w:rPr>
                <w:rFonts w:asciiTheme="minorHAnsi" w:hAnsiTheme="minorHAnsi"/>
                <w:i w:val="0"/>
                <w:color w:val="auto"/>
              </w:rPr>
            </w:pPr>
            <w:r w:rsidRPr="003A5AA8">
              <w:rPr>
                <w:rFonts w:asciiTheme="minorHAnsi" w:hAnsiTheme="minorHAnsi"/>
                <w:i w:val="0"/>
                <w:color w:val="auto"/>
              </w:rPr>
              <w:t>•</w:t>
            </w:r>
            <w:r w:rsidRPr="003A5AA8">
              <w:rPr>
                <w:rFonts w:asciiTheme="minorHAnsi" w:hAnsiTheme="minorHAnsi"/>
                <w:i w:val="0"/>
                <w:color w:val="auto"/>
              </w:rPr>
              <w:tab/>
              <w:t>Jednoduchý produkt pro uživatele skladovacích kapacit. Došlo by k eliminaci počtu potřebných smluv pro využívání skladovací kapacity, uživatel</w:t>
            </w:r>
            <w:r w:rsidR="002B5B31" w:rsidRPr="003A5AA8">
              <w:rPr>
                <w:rFonts w:asciiTheme="minorHAnsi" w:hAnsiTheme="minorHAnsi"/>
                <w:i w:val="0"/>
                <w:color w:val="auto"/>
              </w:rPr>
              <w:t xml:space="preserve"> nevyužívající vývozu/dovozu</w:t>
            </w:r>
            <w:r w:rsidRPr="003A5AA8">
              <w:rPr>
                <w:rFonts w:asciiTheme="minorHAnsi" w:hAnsiTheme="minorHAnsi"/>
                <w:i w:val="0"/>
                <w:color w:val="auto"/>
              </w:rPr>
              <w:t xml:space="preserve"> už by nepotřeboval smlouvu s TSO.</w:t>
            </w:r>
          </w:p>
          <w:p w14:paraId="28E41BBF" w14:textId="496AB5EB" w:rsidR="0005195A" w:rsidRPr="003A5AA8" w:rsidRDefault="0005195A" w:rsidP="00F87ABC">
            <w:pPr>
              <w:pStyle w:val="odpoved"/>
              <w:tabs>
                <w:tab w:val="left" w:pos="284"/>
              </w:tabs>
              <w:spacing w:after="0"/>
              <w:ind w:left="0"/>
              <w:contextualSpacing w:val="0"/>
              <w:rPr>
                <w:rFonts w:asciiTheme="minorHAnsi" w:hAnsiTheme="minorHAnsi"/>
                <w:i w:val="0"/>
                <w:color w:val="auto"/>
              </w:rPr>
            </w:pPr>
            <w:r w:rsidRPr="003A5AA8">
              <w:rPr>
                <w:rFonts w:asciiTheme="minorHAnsi" w:hAnsiTheme="minorHAnsi"/>
                <w:i w:val="0"/>
                <w:color w:val="auto"/>
              </w:rPr>
              <w:t>•</w:t>
            </w:r>
            <w:r w:rsidRPr="003A5AA8">
              <w:rPr>
                <w:rFonts w:asciiTheme="minorHAnsi" w:hAnsiTheme="minorHAnsi"/>
                <w:i w:val="0"/>
                <w:color w:val="auto"/>
              </w:rPr>
              <w:tab/>
              <w:t>Snížení nákladů skladovatelů na užívání zásobníků z důvodu nepotřebnosti poskytovat finanční zajištění obchodníka/skladovatele vůči TSO pro kapacitu do/z virtuálního zásobníku právě z důvodu absence potřeby uzavřít na tuto kapacitu smlouvu s TSO. Takovéto snížení nákladů by mělo vyvolat zvýšení zájmu o skladování a také zvýšení likvidity na V</w:t>
            </w:r>
            <w:r w:rsidR="002B5B31" w:rsidRPr="003A5AA8">
              <w:rPr>
                <w:rFonts w:asciiTheme="minorHAnsi" w:hAnsiTheme="minorHAnsi"/>
                <w:i w:val="0"/>
                <w:color w:val="auto"/>
              </w:rPr>
              <w:t>OB</w:t>
            </w:r>
            <w:r w:rsidRPr="003A5AA8">
              <w:rPr>
                <w:rFonts w:asciiTheme="minorHAnsi" w:hAnsiTheme="minorHAnsi"/>
                <w:i w:val="0"/>
                <w:color w:val="auto"/>
              </w:rPr>
              <w:t>.</w:t>
            </w:r>
          </w:p>
          <w:p w14:paraId="52093A10" w14:textId="1DD1DEBA" w:rsidR="0005195A" w:rsidRPr="003A5AA8" w:rsidRDefault="0005195A" w:rsidP="00F87ABC">
            <w:pPr>
              <w:pStyle w:val="odpoved"/>
              <w:tabs>
                <w:tab w:val="left" w:pos="284"/>
              </w:tabs>
              <w:spacing w:after="0"/>
              <w:ind w:left="0"/>
              <w:contextualSpacing w:val="0"/>
              <w:rPr>
                <w:rFonts w:asciiTheme="minorHAnsi" w:hAnsiTheme="minorHAnsi"/>
                <w:i w:val="0"/>
                <w:color w:val="auto"/>
              </w:rPr>
            </w:pPr>
            <w:r w:rsidRPr="003A5AA8">
              <w:rPr>
                <w:rFonts w:asciiTheme="minorHAnsi" w:hAnsiTheme="minorHAnsi"/>
                <w:i w:val="0"/>
                <w:color w:val="auto"/>
              </w:rPr>
              <w:t>•</w:t>
            </w:r>
            <w:r w:rsidRPr="003A5AA8">
              <w:rPr>
                <w:rFonts w:asciiTheme="minorHAnsi" w:hAnsiTheme="minorHAnsi"/>
                <w:i w:val="0"/>
                <w:color w:val="auto"/>
              </w:rPr>
              <w:tab/>
              <w:t xml:space="preserve">Odstraněním </w:t>
            </w:r>
            <w:r w:rsidR="002B5B31" w:rsidRPr="003A5AA8">
              <w:rPr>
                <w:rFonts w:asciiTheme="minorHAnsi" w:hAnsiTheme="minorHAnsi"/>
                <w:i w:val="0"/>
                <w:color w:val="auto"/>
              </w:rPr>
              <w:t xml:space="preserve">fixní </w:t>
            </w:r>
            <w:r w:rsidRPr="003A5AA8">
              <w:rPr>
                <w:rFonts w:asciiTheme="minorHAnsi" w:hAnsiTheme="minorHAnsi"/>
                <w:i w:val="0"/>
                <w:color w:val="auto"/>
              </w:rPr>
              <w:t>platby za přepravu do/z PZP by došlo k zlevnění skladovacích služeb pro uživatele zásobníku</w:t>
            </w:r>
            <w:r w:rsidR="002B5B31" w:rsidRPr="003A5AA8">
              <w:rPr>
                <w:rFonts w:asciiTheme="minorHAnsi" w:hAnsiTheme="minorHAnsi"/>
                <w:i w:val="0"/>
                <w:color w:val="auto"/>
              </w:rPr>
              <w:t xml:space="preserve"> a k snížení nákladů příležitosti oproti dovozu flexibility ze zahraničí</w:t>
            </w:r>
            <w:r w:rsidRPr="003A5AA8">
              <w:rPr>
                <w:rFonts w:asciiTheme="minorHAnsi" w:hAnsiTheme="minorHAnsi"/>
                <w:i w:val="0"/>
                <w:color w:val="auto"/>
              </w:rPr>
              <w:t>.</w:t>
            </w:r>
          </w:p>
          <w:p w14:paraId="4705632F" w14:textId="7BFD8B02" w:rsidR="0005195A" w:rsidRPr="003A5AA8" w:rsidRDefault="0005195A" w:rsidP="00F87ABC">
            <w:pPr>
              <w:pStyle w:val="odpoved"/>
              <w:tabs>
                <w:tab w:val="left" w:pos="284"/>
              </w:tabs>
              <w:spacing w:after="0"/>
              <w:ind w:left="0"/>
              <w:contextualSpacing w:val="0"/>
              <w:rPr>
                <w:rFonts w:asciiTheme="minorHAnsi" w:hAnsiTheme="minorHAnsi"/>
                <w:i w:val="0"/>
                <w:color w:val="auto"/>
              </w:rPr>
            </w:pPr>
            <w:r w:rsidRPr="003A5AA8">
              <w:rPr>
                <w:rFonts w:asciiTheme="minorHAnsi" w:hAnsiTheme="minorHAnsi"/>
                <w:i w:val="0"/>
                <w:color w:val="auto"/>
              </w:rPr>
              <w:t>•</w:t>
            </w:r>
            <w:r w:rsidRPr="003A5AA8">
              <w:rPr>
                <w:rFonts w:asciiTheme="minorHAnsi" w:hAnsiTheme="minorHAnsi"/>
                <w:i w:val="0"/>
                <w:color w:val="auto"/>
              </w:rPr>
              <w:tab/>
              <w:t>Odstraněním jednotkové platby za vtlačené/vytěžené množství by se snížily náklady příležitosti za využívání zásobníku a vzrostla by likvidita na V</w:t>
            </w:r>
            <w:r w:rsidR="002B5B31" w:rsidRPr="003A5AA8">
              <w:rPr>
                <w:rFonts w:asciiTheme="minorHAnsi" w:hAnsiTheme="minorHAnsi"/>
                <w:i w:val="0"/>
                <w:color w:val="auto"/>
              </w:rPr>
              <w:t>OB</w:t>
            </w:r>
            <w:r w:rsidRPr="003A5AA8">
              <w:rPr>
                <w:rFonts w:asciiTheme="minorHAnsi" w:hAnsiTheme="minorHAnsi"/>
                <w:i w:val="0"/>
                <w:color w:val="auto"/>
              </w:rPr>
              <w:t>.</w:t>
            </w:r>
            <w:r w:rsidR="002B5B31" w:rsidRPr="003A5AA8">
              <w:rPr>
                <w:rFonts w:asciiTheme="minorHAnsi" w:hAnsiTheme="minorHAnsi"/>
                <w:i w:val="0"/>
                <w:color w:val="auto"/>
              </w:rPr>
              <w:t xml:space="preserve"> Tedy snížily by se náklady na obchodování na VOB a zároveň náklady na obchodní i </w:t>
            </w:r>
            <w:r w:rsidR="00365427" w:rsidRPr="003A5AA8">
              <w:rPr>
                <w:rFonts w:asciiTheme="minorHAnsi" w:hAnsiTheme="minorHAnsi"/>
                <w:i w:val="0"/>
                <w:color w:val="auto"/>
              </w:rPr>
              <w:t>systémové vyvažování.</w:t>
            </w:r>
          </w:p>
          <w:p w14:paraId="34BAE714" w14:textId="77777777" w:rsidR="0009401A" w:rsidRPr="003A5AA8" w:rsidRDefault="0005195A" w:rsidP="00F87ABC">
            <w:pPr>
              <w:pStyle w:val="odpoved"/>
              <w:tabs>
                <w:tab w:val="left" w:pos="284"/>
              </w:tabs>
              <w:spacing w:after="0"/>
              <w:ind w:left="0"/>
              <w:contextualSpacing w:val="0"/>
              <w:rPr>
                <w:rFonts w:asciiTheme="minorHAnsi" w:hAnsiTheme="minorHAnsi"/>
                <w:i w:val="0"/>
                <w:color w:val="auto"/>
              </w:rPr>
            </w:pPr>
            <w:r w:rsidRPr="003A5AA8">
              <w:rPr>
                <w:rFonts w:asciiTheme="minorHAnsi" w:hAnsiTheme="minorHAnsi"/>
                <w:i w:val="0"/>
                <w:color w:val="auto"/>
              </w:rPr>
              <w:t>•</w:t>
            </w:r>
            <w:r w:rsidRPr="003A5AA8">
              <w:rPr>
                <w:rFonts w:asciiTheme="minorHAnsi" w:hAnsiTheme="minorHAnsi"/>
                <w:i w:val="0"/>
                <w:color w:val="auto"/>
              </w:rPr>
              <w:tab/>
              <w:t>V konečném důsledku by se skladování zemního plynu v ČR stalo atraktivnějším.</w:t>
            </w:r>
          </w:p>
          <w:p w14:paraId="426CDDA7" w14:textId="48CAD884" w:rsidR="002B5B31" w:rsidRPr="003A5AA8" w:rsidRDefault="0009401A" w:rsidP="00F87ABC">
            <w:pPr>
              <w:pStyle w:val="odpoved"/>
              <w:tabs>
                <w:tab w:val="left" w:pos="284"/>
              </w:tabs>
              <w:spacing w:after="0"/>
              <w:ind w:left="0"/>
              <w:contextualSpacing w:val="0"/>
              <w:rPr>
                <w:rFonts w:asciiTheme="minorHAnsi" w:hAnsiTheme="minorHAnsi"/>
                <w:i w:val="0"/>
                <w:color w:val="auto"/>
              </w:rPr>
            </w:pPr>
            <w:r w:rsidRPr="003A5AA8">
              <w:rPr>
                <w:rFonts w:asciiTheme="minorHAnsi" w:hAnsiTheme="minorHAnsi"/>
                <w:i w:val="0"/>
                <w:color w:val="auto"/>
              </w:rPr>
              <w:t>•</w:t>
            </w:r>
            <w:r w:rsidRPr="003A5AA8">
              <w:rPr>
                <w:rFonts w:asciiTheme="minorHAnsi" w:hAnsiTheme="minorHAnsi"/>
                <w:i w:val="0"/>
                <w:color w:val="auto"/>
              </w:rPr>
              <w:tab/>
              <w:t>Změna modelu by</w:t>
            </w:r>
            <w:r w:rsidR="00CC4C56" w:rsidRPr="003A5AA8">
              <w:rPr>
                <w:rFonts w:asciiTheme="minorHAnsi" w:hAnsiTheme="minorHAnsi"/>
                <w:i w:val="0"/>
                <w:color w:val="auto"/>
              </w:rPr>
              <w:t xml:space="preserve"> vedla k zjednodušení obchodování a zároveň</w:t>
            </w:r>
            <w:r w:rsidRPr="003A5AA8">
              <w:rPr>
                <w:rFonts w:asciiTheme="minorHAnsi" w:hAnsiTheme="minorHAnsi"/>
                <w:i w:val="0"/>
                <w:color w:val="auto"/>
              </w:rPr>
              <w:t xml:space="preserve"> pomohla stabilizovat podmínky pro vlastní činnost provozovatelů zásobníků.</w:t>
            </w:r>
          </w:p>
          <w:p w14:paraId="7B0DBDD7" w14:textId="7198ECEE" w:rsidR="002B5B31" w:rsidRPr="003A5AA8" w:rsidRDefault="002B5B31" w:rsidP="00F87ABC">
            <w:pPr>
              <w:pStyle w:val="odpoved"/>
              <w:tabs>
                <w:tab w:val="left" w:pos="284"/>
              </w:tabs>
              <w:spacing w:after="0"/>
              <w:ind w:left="0"/>
              <w:contextualSpacing w:val="0"/>
              <w:rPr>
                <w:rFonts w:asciiTheme="minorHAnsi" w:hAnsiTheme="minorHAnsi"/>
                <w:i w:val="0"/>
                <w:color w:val="auto"/>
              </w:rPr>
            </w:pPr>
            <w:r w:rsidRPr="003A5AA8">
              <w:rPr>
                <w:rFonts w:asciiTheme="minorHAnsi" w:hAnsiTheme="minorHAnsi"/>
                <w:i w:val="0"/>
                <w:color w:val="auto"/>
              </w:rPr>
              <w:t>•</w:t>
            </w:r>
            <w:r w:rsidRPr="003A5AA8">
              <w:rPr>
                <w:rFonts w:asciiTheme="minorHAnsi" w:hAnsiTheme="minorHAnsi"/>
                <w:i w:val="0"/>
                <w:color w:val="auto"/>
              </w:rPr>
              <w:tab/>
              <w:t>Zvýšení likvidity na VOB</w:t>
            </w:r>
            <w:r w:rsidR="00365427" w:rsidRPr="003A5AA8">
              <w:rPr>
                <w:rFonts w:asciiTheme="minorHAnsi" w:hAnsiTheme="minorHAnsi"/>
                <w:i w:val="0"/>
                <w:color w:val="auto"/>
              </w:rPr>
              <w:t>, vyšší využívání zásobníků v ČR jako zdroje flexibility</w:t>
            </w:r>
            <w:r w:rsidRPr="003A5AA8">
              <w:rPr>
                <w:rFonts w:asciiTheme="minorHAnsi" w:hAnsiTheme="minorHAnsi"/>
                <w:i w:val="0"/>
                <w:color w:val="auto"/>
              </w:rPr>
              <w:t xml:space="preserve"> a vyšší </w:t>
            </w:r>
            <w:r w:rsidR="00365427" w:rsidRPr="003A5AA8">
              <w:rPr>
                <w:rFonts w:asciiTheme="minorHAnsi" w:hAnsiTheme="minorHAnsi"/>
                <w:i w:val="0"/>
                <w:color w:val="auto"/>
              </w:rPr>
              <w:t>pravděpodobnost</w:t>
            </w:r>
            <w:r w:rsidRPr="003A5AA8">
              <w:rPr>
                <w:rFonts w:asciiTheme="minorHAnsi" w:hAnsiTheme="minorHAnsi"/>
                <w:i w:val="0"/>
                <w:color w:val="auto"/>
              </w:rPr>
              <w:t xml:space="preserve"> zachování stávajících skladovacích kapacit by vedl</w:t>
            </w:r>
            <w:r w:rsidR="00365427" w:rsidRPr="003A5AA8">
              <w:rPr>
                <w:rFonts w:asciiTheme="minorHAnsi" w:hAnsiTheme="minorHAnsi"/>
                <w:i w:val="0"/>
                <w:color w:val="auto"/>
              </w:rPr>
              <w:t>y</w:t>
            </w:r>
            <w:r w:rsidRPr="003A5AA8">
              <w:rPr>
                <w:rFonts w:asciiTheme="minorHAnsi" w:hAnsiTheme="minorHAnsi"/>
                <w:i w:val="0"/>
                <w:color w:val="auto"/>
              </w:rPr>
              <w:t xml:space="preserve"> i ke zvýšení bezpečnosti dodávek </w:t>
            </w:r>
            <w:r w:rsidR="00365427" w:rsidRPr="003A5AA8">
              <w:rPr>
                <w:rFonts w:asciiTheme="minorHAnsi" w:hAnsiTheme="minorHAnsi"/>
                <w:i w:val="0"/>
                <w:color w:val="auto"/>
              </w:rPr>
              <w:t xml:space="preserve">zemního plynu </w:t>
            </w:r>
            <w:r w:rsidRPr="003A5AA8">
              <w:rPr>
                <w:rFonts w:asciiTheme="minorHAnsi" w:hAnsiTheme="minorHAnsi"/>
                <w:i w:val="0"/>
                <w:color w:val="auto"/>
              </w:rPr>
              <w:t>v ČR.</w:t>
            </w:r>
          </w:p>
          <w:p w14:paraId="05789B50" w14:textId="77777777" w:rsidR="006A2641" w:rsidRPr="003A5AA8" w:rsidRDefault="006A2641" w:rsidP="00F87ABC">
            <w:pPr>
              <w:pStyle w:val="odpoved"/>
              <w:tabs>
                <w:tab w:val="left" w:pos="284"/>
              </w:tabs>
              <w:spacing w:after="0"/>
              <w:ind w:left="0"/>
              <w:contextualSpacing w:val="0"/>
              <w:rPr>
                <w:rFonts w:asciiTheme="minorHAnsi" w:hAnsiTheme="minorHAnsi"/>
                <w:i w:val="0"/>
                <w:color w:val="auto"/>
              </w:rPr>
            </w:pPr>
            <w:r w:rsidRPr="003A5AA8">
              <w:rPr>
                <w:rFonts w:asciiTheme="minorHAnsi" w:hAnsiTheme="minorHAnsi"/>
                <w:i w:val="0"/>
                <w:color w:val="auto"/>
              </w:rPr>
              <w:t>•</w:t>
            </w:r>
            <w:r w:rsidRPr="003A5AA8">
              <w:rPr>
                <w:rFonts w:asciiTheme="minorHAnsi" w:hAnsiTheme="minorHAnsi"/>
                <w:i w:val="0"/>
                <w:color w:val="auto"/>
              </w:rPr>
              <w:tab/>
              <w:t xml:space="preserve">Po vyhodnocení nominací SSO OTE informuje TSO o čisté resp. agregované pozici. Následně musí dispečinky SSO a TSO v těsné spolupráci řešit provozní záležitosti </w:t>
            </w:r>
            <w:r w:rsidRPr="003A5AA8">
              <w:rPr>
                <w:rFonts w:asciiTheme="minorHAnsi" w:hAnsiTheme="minorHAnsi"/>
                <w:i w:val="0"/>
                <w:color w:val="auto"/>
              </w:rPr>
              <w:lastRenderedPageBreak/>
              <w:t>(tlaky, místa předání, atd.) tak jako je tomu v současnosti.</w:t>
            </w:r>
          </w:p>
          <w:p w14:paraId="3666E4CD" w14:textId="77777777" w:rsidR="0009401A" w:rsidRPr="003A5AA8" w:rsidRDefault="00C93663" w:rsidP="00F87ABC">
            <w:pPr>
              <w:pStyle w:val="odpoved"/>
              <w:tabs>
                <w:tab w:val="left" w:pos="284"/>
              </w:tabs>
              <w:spacing w:after="0"/>
              <w:ind w:left="0"/>
              <w:contextualSpacing w:val="0"/>
              <w:rPr>
                <w:rFonts w:asciiTheme="minorHAnsi" w:hAnsiTheme="minorHAnsi"/>
                <w:i w:val="0"/>
                <w:color w:val="auto"/>
              </w:rPr>
            </w:pPr>
            <w:r w:rsidRPr="003A5AA8">
              <w:rPr>
                <w:rFonts w:asciiTheme="minorHAnsi" w:hAnsiTheme="minorHAnsi"/>
                <w:i w:val="0"/>
                <w:color w:val="auto"/>
              </w:rPr>
              <w:t>•</w:t>
            </w:r>
            <w:r w:rsidRPr="003A5AA8">
              <w:rPr>
                <w:rFonts w:asciiTheme="minorHAnsi" w:hAnsiTheme="minorHAnsi"/>
                <w:i w:val="0"/>
                <w:color w:val="auto"/>
              </w:rPr>
              <w:tab/>
              <w:t>Ačkoliv by stále mohla vzniknout odchylka mezi nominací a skutečnou alokací (zejména z důvodu omezení na straně SSO nebo TSO) a ačkoliv by obchodníci/skladovatelé stále měli povinnost udržovat příslušnou finanční jistotu vůči OTE, nedošlo by k negativnímu dopadu na systém řízení rizik OTE.</w:t>
            </w:r>
          </w:p>
          <w:p w14:paraId="193A6437" w14:textId="52BA42D5" w:rsidR="0055064B" w:rsidRPr="003A5AA8" w:rsidRDefault="0055064B" w:rsidP="00F87ABC">
            <w:pPr>
              <w:pStyle w:val="odpoved"/>
              <w:tabs>
                <w:tab w:val="left" w:pos="284"/>
              </w:tabs>
              <w:spacing w:after="0"/>
              <w:ind w:left="0"/>
              <w:contextualSpacing w:val="0"/>
              <w:rPr>
                <w:rFonts w:asciiTheme="minorHAnsi" w:hAnsiTheme="minorHAnsi"/>
                <w:i w:val="0"/>
                <w:color w:val="auto"/>
              </w:rPr>
            </w:pPr>
            <w:r w:rsidRPr="003A5AA8">
              <w:rPr>
                <w:rFonts w:asciiTheme="minorHAnsi" w:hAnsiTheme="minorHAnsi"/>
                <w:i w:val="0"/>
                <w:color w:val="auto"/>
              </w:rPr>
              <w:t>•</w:t>
            </w:r>
            <w:r w:rsidRPr="003A5AA8">
              <w:rPr>
                <w:rFonts w:asciiTheme="minorHAnsi" w:hAnsiTheme="minorHAnsi"/>
                <w:i w:val="0"/>
                <w:color w:val="auto"/>
              </w:rPr>
              <w:tab/>
              <w:t>Model úspěšně funguje v zahraničí, např. v Dánsku, jak je popsáno dále v zahraničních zkušenostech.</w:t>
            </w:r>
          </w:p>
        </w:tc>
        <w:tc>
          <w:tcPr>
            <w:tcW w:w="4105" w:type="dxa"/>
          </w:tcPr>
          <w:p w14:paraId="702363E0" w14:textId="77777777" w:rsidR="0009401A" w:rsidRPr="003A5AA8" w:rsidRDefault="0009401A" w:rsidP="00F87ABC">
            <w:pPr>
              <w:pStyle w:val="odpoved"/>
              <w:spacing w:after="0"/>
              <w:ind w:left="0"/>
              <w:contextualSpacing w:val="0"/>
              <w:rPr>
                <w:rFonts w:asciiTheme="minorHAnsi" w:hAnsiTheme="minorHAnsi"/>
                <w:i w:val="0"/>
                <w:color w:val="auto"/>
              </w:rPr>
            </w:pPr>
            <w:r w:rsidRPr="003A5AA8">
              <w:rPr>
                <w:rFonts w:asciiTheme="minorHAnsi" w:hAnsiTheme="minorHAnsi"/>
                <w:i w:val="0"/>
                <w:color w:val="auto"/>
              </w:rPr>
              <w:lastRenderedPageBreak/>
              <w:t>Slabé stránky:</w:t>
            </w:r>
          </w:p>
          <w:p w14:paraId="1153CAB5" w14:textId="56944051" w:rsidR="00B47EBE" w:rsidRPr="003A5AA8" w:rsidRDefault="00B47EBE" w:rsidP="00F87ABC">
            <w:pPr>
              <w:pStyle w:val="odpoved"/>
              <w:tabs>
                <w:tab w:val="left" w:pos="284"/>
              </w:tabs>
              <w:spacing w:after="0"/>
              <w:ind w:left="0"/>
              <w:contextualSpacing w:val="0"/>
              <w:rPr>
                <w:rFonts w:asciiTheme="minorHAnsi" w:hAnsiTheme="minorHAnsi"/>
                <w:i w:val="0"/>
                <w:color w:val="auto"/>
              </w:rPr>
            </w:pPr>
            <w:r w:rsidRPr="003A5AA8">
              <w:rPr>
                <w:rFonts w:asciiTheme="minorHAnsi" w:hAnsiTheme="minorHAnsi"/>
                <w:i w:val="0"/>
                <w:color w:val="auto"/>
              </w:rPr>
              <w:t>•</w:t>
            </w:r>
            <w:r w:rsidRPr="003A5AA8">
              <w:rPr>
                <w:rFonts w:asciiTheme="minorHAnsi" w:hAnsiTheme="minorHAnsi"/>
                <w:i w:val="0"/>
                <w:color w:val="auto"/>
              </w:rPr>
              <w:tab/>
              <w:t>Pro zahraničního uživatele virtuálního zásobníku dosud neregistrovaného na OTE bude nutné být subjektem zúčtování.</w:t>
            </w:r>
          </w:p>
          <w:p w14:paraId="56A540F6" w14:textId="262C8979" w:rsidR="0055064B" w:rsidRPr="003A5AA8" w:rsidRDefault="0005195A" w:rsidP="00F87ABC">
            <w:pPr>
              <w:pStyle w:val="odpoved"/>
              <w:tabs>
                <w:tab w:val="left" w:pos="284"/>
              </w:tabs>
              <w:spacing w:after="0"/>
              <w:ind w:left="0"/>
              <w:contextualSpacing w:val="0"/>
              <w:rPr>
                <w:rFonts w:asciiTheme="minorHAnsi" w:hAnsiTheme="minorHAnsi"/>
                <w:i w:val="0"/>
                <w:color w:val="auto"/>
              </w:rPr>
            </w:pPr>
            <w:r w:rsidRPr="003A5AA8">
              <w:rPr>
                <w:rFonts w:asciiTheme="minorHAnsi" w:hAnsiTheme="minorHAnsi"/>
                <w:i w:val="0"/>
                <w:color w:val="auto"/>
              </w:rPr>
              <w:t>•</w:t>
            </w:r>
            <w:r w:rsidRPr="003A5AA8">
              <w:rPr>
                <w:rFonts w:asciiTheme="minorHAnsi" w:hAnsiTheme="minorHAnsi"/>
                <w:i w:val="0"/>
                <w:color w:val="auto"/>
              </w:rPr>
              <w:tab/>
            </w:r>
            <w:r w:rsidR="00710CA3" w:rsidRPr="003A5AA8">
              <w:rPr>
                <w:rFonts w:asciiTheme="minorHAnsi" w:hAnsiTheme="minorHAnsi"/>
                <w:i w:val="0"/>
                <w:color w:val="auto"/>
              </w:rPr>
              <w:t>Nutnost provedení změn k z</w:t>
            </w:r>
            <w:r w:rsidR="0055064B" w:rsidRPr="003A5AA8">
              <w:rPr>
                <w:rFonts w:asciiTheme="minorHAnsi" w:hAnsiTheme="minorHAnsi"/>
                <w:i w:val="0"/>
                <w:color w:val="auto"/>
              </w:rPr>
              <w:t>ajištění předpokladů pro fungování</w:t>
            </w:r>
            <w:r w:rsidR="00710CA3" w:rsidRPr="003A5AA8">
              <w:rPr>
                <w:rFonts w:asciiTheme="minorHAnsi" w:hAnsiTheme="minorHAnsi"/>
                <w:i w:val="0"/>
                <w:color w:val="auto"/>
              </w:rPr>
              <w:t xml:space="preserve"> upraveného modelu</w:t>
            </w:r>
            <w:r w:rsidR="0055064B" w:rsidRPr="003A5AA8">
              <w:rPr>
                <w:rFonts w:asciiTheme="minorHAnsi" w:hAnsiTheme="minorHAnsi"/>
                <w:i w:val="0"/>
                <w:color w:val="auto"/>
              </w:rPr>
              <w:t>:</w:t>
            </w:r>
          </w:p>
          <w:p w14:paraId="18BB76AC" w14:textId="15A2AC6B" w:rsidR="0005195A" w:rsidRPr="003A5AA8" w:rsidRDefault="0005195A" w:rsidP="00A111E1">
            <w:pPr>
              <w:pStyle w:val="odpoved"/>
              <w:numPr>
                <w:ilvl w:val="0"/>
                <w:numId w:val="15"/>
              </w:numPr>
              <w:tabs>
                <w:tab w:val="left" w:pos="284"/>
              </w:tabs>
              <w:spacing w:after="0"/>
              <w:ind w:left="600"/>
              <w:contextualSpacing w:val="0"/>
              <w:rPr>
                <w:rFonts w:asciiTheme="minorHAnsi" w:hAnsiTheme="minorHAnsi"/>
                <w:i w:val="0"/>
                <w:color w:val="auto"/>
              </w:rPr>
            </w:pPr>
            <w:r w:rsidRPr="003A5AA8">
              <w:rPr>
                <w:rFonts w:asciiTheme="minorHAnsi" w:hAnsiTheme="minorHAnsi"/>
                <w:i w:val="0"/>
                <w:color w:val="auto"/>
              </w:rPr>
              <w:t>Stávající definice nominace a alokace na VOB není v souladu s možností vzniku odchylky na virtuálním bodě zásobník</w:t>
            </w:r>
            <w:r w:rsidR="00C93663" w:rsidRPr="003A5AA8">
              <w:rPr>
                <w:rFonts w:asciiTheme="minorHAnsi" w:hAnsiTheme="minorHAnsi"/>
                <w:i w:val="0"/>
                <w:color w:val="auto"/>
              </w:rPr>
              <w:t xml:space="preserve">u. Požadavek na </w:t>
            </w:r>
            <w:r w:rsidRPr="003A5AA8">
              <w:rPr>
                <w:rFonts w:asciiTheme="minorHAnsi" w:hAnsiTheme="minorHAnsi"/>
                <w:i w:val="0"/>
                <w:color w:val="auto"/>
              </w:rPr>
              <w:t>zavedení „závazku těžby“ (vstup) a „závazku vtláčení“ (výstup) jako alternativní formy závazku dodat/odebrat na virtuálním obchodním bodě.</w:t>
            </w:r>
          </w:p>
          <w:p w14:paraId="28CBCA18" w14:textId="1CBD46F6" w:rsidR="00365427" w:rsidRPr="003A5AA8" w:rsidRDefault="00365427" w:rsidP="00A111E1">
            <w:pPr>
              <w:pStyle w:val="odpoved"/>
              <w:numPr>
                <w:ilvl w:val="0"/>
                <w:numId w:val="15"/>
              </w:numPr>
              <w:tabs>
                <w:tab w:val="left" w:pos="284"/>
              </w:tabs>
              <w:spacing w:after="0"/>
              <w:ind w:left="600"/>
              <w:contextualSpacing w:val="0"/>
              <w:rPr>
                <w:rFonts w:asciiTheme="minorHAnsi" w:hAnsiTheme="minorHAnsi"/>
                <w:i w:val="0"/>
                <w:color w:val="auto"/>
              </w:rPr>
            </w:pPr>
            <w:r w:rsidRPr="003A5AA8">
              <w:rPr>
                <w:rFonts w:asciiTheme="minorHAnsi" w:hAnsiTheme="minorHAnsi"/>
                <w:i w:val="0"/>
                <w:color w:val="auto"/>
              </w:rPr>
              <w:t>Nutnost úpravy/aktualizace smluvních vztahů mezi TSO a SSO, SSO a skladovateli, zrušení vztahu o přepravě z/do virtuálního zásobníku mezi TSO a skladovateli a vznik nového vztahu mezi zahraničními skladovateli a OTE, pro ty, kteří nejsou stále registrováni.</w:t>
            </w:r>
          </w:p>
          <w:p w14:paraId="6AC46658" w14:textId="245806CA" w:rsidR="0005195A" w:rsidRPr="003A5AA8" w:rsidRDefault="0005195A" w:rsidP="00A111E1">
            <w:pPr>
              <w:pStyle w:val="odpoved"/>
              <w:numPr>
                <w:ilvl w:val="0"/>
                <w:numId w:val="15"/>
              </w:numPr>
              <w:tabs>
                <w:tab w:val="left" w:pos="284"/>
              </w:tabs>
              <w:spacing w:after="0"/>
              <w:ind w:left="600"/>
              <w:contextualSpacing w:val="0"/>
              <w:rPr>
                <w:rFonts w:asciiTheme="minorHAnsi" w:hAnsiTheme="minorHAnsi"/>
                <w:i w:val="0"/>
                <w:color w:val="auto"/>
              </w:rPr>
            </w:pPr>
            <w:r w:rsidRPr="003A5AA8">
              <w:rPr>
                <w:rFonts w:asciiTheme="minorHAnsi" w:hAnsiTheme="minorHAnsi"/>
                <w:i w:val="0"/>
                <w:color w:val="auto"/>
              </w:rPr>
              <w:t>Všechny zainteresované strany (uživatelé, SSO, OTE, TSO) by musely provést nezbytné úpravy v infomačních systémech z důvodu změny modelu trhu (předacích míst), ale i z důvodu nového nastavení identifikátorů. Např. by každý účastník trhu, který by chtěl nominovat na virtuální bod PZP (bez ohledu na to, jestli by byl uživatel nebo ne) musel být jednoznačně identifikovatelný v systémech OTE, TSO a SSO.</w:t>
            </w:r>
          </w:p>
          <w:p w14:paraId="0B973136" w14:textId="6009286E" w:rsidR="0005195A" w:rsidRPr="003A5AA8" w:rsidRDefault="0005195A" w:rsidP="00A111E1">
            <w:pPr>
              <w:pStyle w:val="odpoved"/>
              <w:numPr>
                <w:ilvl w:val="0"/>
                <w:numId w:val="15"/>
              </w:numPr>
              <w:tabs>
                <w:tab w:val="left" w:pos="284"/>
              </w:tabs>
              <w:spacing w:after="0"/>
              <w:ind w:left="600"/>
              <w:contextualSpacing w:val="0"/>
              <w:rPr>
                <w:rFonts w:asciiTheme="minorHAnsi" w:hAnsiTheme="minorHAnsi"/>
                <w:i w:val="0"/>
                <w:color w:val="auto"/>
              </w:rPr>
            </w:pPr>
            <w:r w:rsidRPr="003A5AA8">
              <w:rPr>
                <w:rFonts w:asciiTheme="minorHAnsi" w:hAnsiTheme="minorHAnsi"/>
                <w:i w:val="0"/>
                <w:color w:val="auto"/>
              </w:rPr>
              <w:t xml:space="preserve">Dalším dopadem by byla nutnost nového </w:t>
            </w:r>
            <w:r w:rsidR="002B5B31" w:rsidRPr="003A5AA8">
              <w:rPr>
                <w:rFonts w:asciiTheme="minorHAnsi" w:hAnsiTheme="minorHAnsi"/>
                <w:i w:val="0"/>
                <w:color w:val="auto"/>
              </w:rPr>
              <w:t xml:space="preserve">dílčího </w:t>
            </w:r>
            <w:r w:rsidRPr="003A5AA8">
              <w:rPr>
                <w:rFonts w:asciiTheme="minorHAnsi" w:hAnsiTheme="minorHAnsi"/>
                <w:i w:val="0"/>
                <w:color w:val="auto"/>
              </w:rPr>
              <w:t xml:space="preserve">nastavení komunikačních </w:t>
            </w:r>
            <w:r w:rsidR="002B5B31" w:rsidRPr="003A5AA8">
              <w:rPr>
                <w:rFonts w:asciiTheme="minorHAnsi" w:hAnsiTheme="minorHAnsi"/>
                <w:i w:val="0"/>
                <w:color w:val="auto"/>
              </w:rPr>
              <w:t>procesů</w:t>
            </w:r>
            <w:r w:rsidRPr="003A5AA8">
              <w:rPr>
                <w:rFonts w:asciiTheme="minorHAnsi" w:hAnsiTheme="minorHAnsi"/>
                <w:i w:val="0"/>
                <w:color w:val="auto"/>
              </w:rPr>
              <w:t xml:space="preserve"> Uživatel × SSO × OTE × TSO.</w:t>
            </w:r>
          </w:p>
          <w:p w14:paraId="4247A608" w14:textId="5A60F4E0" w:rsidR="0005195A" w:rsidRPr="003A5AA8" w:rsidRDefault="0005195A" w:rsidP="00A111E1">
            <w:pPr>
              <w:pStyle w:val="odpoved"/>
              <w:numPr>
                <w:ilvl w:val="0"/>
                <w:numId w:val="15"/>
              </w:numPr>
              <w:tabs>
                <w:tab w:val="left" w:pos="284"/>
              </w:tabs>
              <w:spacing w:after="0"/>
              <w:ind w:left="600"/>
              <w:contextualSpacing w:val="0"/>
              <w:rPr>
                <w:rFonts w:asciiTheme="minorHAnsi" w:hAnsiTheme="minorHAnsi"/>
                <w:i w:val="0"/>
                <w:color w:val="auto"/>
              </w:rPr>
            </w:pPr>
            <w:r w:rsidRPr="003A5AA8">
              <w:rPr>
                <w:rFonts w:asciiTheme="minorHAnsi" w:hAnsiTheme="minorHAnsi"/>
                <w:i w:val="0"/>
                <w:color w:val="auto"/>
              </w:rPr>
              <w:t xml:space="preserve">Uživatel skladovací kapacity by nominoval pouze vůči SSO </w:t>
            </w:r>
            <w:r w:rsidRPr="003A5AA8">
              <w:rPr>
                <w:rFonts w:asciiTheme="minorHAnsi" w:hAnsiTheme="minorHAnsi"/>
                <w:i w:val="0"/>
                <w:color w:val="auto"/>
              </w:rPr>
              <w:lastRenderedPageBreak/>
              <w:t>(nominace vůči TSO by neexistovala), tyto nominace by musely nést jednoznačný identifikátor smlouvy a subjektu, který dodává plyn. Protože by pravděpodobně bylo více smluv i více dodavatelů plynu, musel by identifikátor jednoznačně přidělit plyn na skladovací smlouvu.</w:t>
            </w:r>
          </w:p>
          <w:p w14:paraId="4C659F61" w14:textId="0E9F475B" w:rsidR="0005195A" w:rsidRPr="003A5AA8" w:rsidRDefault="0005195A">
            <w:pPr>
              <w:pStyle w:val="odpoved"/>
              <w:tabs>
                <w:tab w:val="left" w:pos="284"/>
              </w:tabs>
              <w:spacing w:after="0"/>
              <w:ind w:left="0"/>
              <w:contextualSpacing w:val="0"/>
              <w:rPr>
                <w:rFonts w:asciiTheme="minorHAnsi" w:hAnsiTheme="minorHAnsi"/>
                <w:i w:val="0"/>
                <w:color w:val="auto"/>
              </w:rPr>
            </w:pPr>
          </w:p>
        </w:tc>
      </w:tr>
      <w:tr w:rsidR="0005195A" w:rsidRPr="003A5AA8" w14:paraId="67F79773" w14:textId="77777777" w:rsidTr="00F87ABC">
        <w:tc>
          <w:tcPr>
            <w:tcW w:w="4237" w:type="dxa"/>
          </w:tcPr>
          <w:p w14:paraId="2AD59CED" w14:textId="1CB9F782" w:rsidR="006A2641" w:rsidRPr="003A5AA8" w:rsidRDefault="006A2641" w:rsidP="00F87ABC">
            <w:pPr>
              <w:pStyle w:val="odpoved"/>
              <w:tabs>
                <w:tab w:val="left" w:pos="262"/>
              </w:tabs>
              <w:spacing w:after="0"/>
              <w:ind w:left="0"/>
              <w:contextualSpacing w:val="0"/>
              <w:rPr>
                <w:rFonts w:asciiTheme="minorHAnsi" w:hAnsiTheme="minorHAnsi"/>
                <w:i w:val="0"/>
                <w:color w:val="auto"/>
              </w:rPr>
            </w:pPr>
            <w:r w:rsidRPr="003A5AA8">
              <w:rPr>
                <w:rFonts w:asciiTheme="minorHAnsi" w:hAnsiTheme="minorHAnsi"/>
                <w:i w:val="0"/>
                <w:color w:val="auto"/>
              </w:rPr>
              <w:lastRenderedPageBreak/>
              <w:t>Příležitosti:</w:t>
            </w:r>
          </w:p>
          <w:p w14:paraId="5FF1FFE5" w14:textId="77777777" w:rsidR="0005195A" w:rsidRPr="003A5AA8" w:rsidRDefault="0009401A" w:rsidP="00F87ABC">
            <w:pPr>
              <w:pStyle w:val="odpoved"/>
              <w:tabs>
                <w:tab w:val="left" w:pos="262"/>
              </w:tabs>
              <w:spacing w:after="0"/>
              <w:ind w:left="0"/>
              <w:contextualSpacing w:val="0"/>
              <w:rPr>
                <w:rFonts w:asciiTheme="minorHAnsi" w:hAnsiTheme="minorHAnsi"/>
                <w:i w:val="0"/>
                <w:color w:val="auto"/>
              </w:rPr>
            </w:pPr>
            <w:r w:rsidRPr="003A5AA8">
              <w:rPr>
                <w:rFonts w:asciiTheme="minorHAnsi" w:hAnsiTheme="minorHAnsi"/>
                <w:i w:val="0"/>
                <w:color w:val="auto"/>
              </w:rPr>
              <w:t>•</w:t>
            </w:r>
            <w:r w:rsidRPr="003A5AA8">
              <w:rPr>
                <w:rFonts w:asciiTheme="minorHAnsi" w:hAnsiTheme="minorHAnsi"/>
                <w:i w:val="0"/>
                <w:color w:val="auto"/>
              </w:rPr>
              <w:tab/>
              <w:t>Přesun PZP na</w:t>
            </w:r>
            <w:r w:rsidR="0005195A" w:rsidRPr="003A5AA8">
              <w:rPr>
                <w:rFonts w:asciiTheme="minorHAnsi" w:hAnsiTheme="minorHAnsi"/>
                <w:i w:val="0"/>
                <w:color w:val="auto"/>
              </w:rPr>
              <w:t xml:space="preserve"> VOB by mohl nabídnout možnost rozšíření poskytovaných produktů a zjednodušení obchodování stávajících produktů mez</w:t>
            </w:r>
            <w:r w:rsidRPr="003A5AA8">
              <w:rPr>
                <w:rFonts w:asciiTheme="minorHAnsi" w:hAnsiTheme="minorHAnsi"/>
                <w:i w:val="0"/>
                <w:color w:val="auto"/>
              </w:rPr>
              <w:t>i obchodníky/skladovateli na VOB</w:t>
            </w:r>
            <w:r w:rsidR="0005195A" w:rsidRPr="003A5AA8">
              <w:rPr>
                <w:rFonts w:asciiTheme="minorHAnsi" w:hAnsiTheme="minorHAnsi"/>
                <w:i w:val="0"/>
                <w:color w:val="auto"/>
              </w:rPr>
              <w:t xml:space="preserve"> (při zachování pravomoci SSO odmítnout obchod z důvodu nedostatečného zajištění) např. o:</w:t>
            </w:r>
          </w:p>
          <w:p w14:paraId="61F2DF30" w14:textId="77777777" w:rsidR="0005195A" w:rsidRPr="003A5AA8" w:rsidRDefault="0005195A" w:rsidP="00F87ABC">
            <w:pPr>
              <w:pStyle w:val="odpoved"/>
              <w:tabs>
                <w:tab w:val="left" w:pos="262"/>
              </w:tabs>
              <w:spacing w:after="0"/>
              <w:ind w:left="301"/>
              <w:contextualSpacing w:val="0"/>
              <w:rPr>
                <w:rFonts w:asciiTheme="minorHAnsi" w:hAnsiTheme="minorHAnsi"/>
                <w:i w:val="0"/>
                <w:color w:val="auto"/>
              </w:rPr>
            </w:pPr>
            <w:r w:rsidRPr="003A5AA8">
              <w:rPr>
                <w:rFonts w:asciiTheme="minorHAnsi" w:hAnsiTheme="minorHAnsi"/>
                <w:i w:val="0"/>
                <w:color w:val="auto"/>
              </w:rPr>
              <w:t>•</w:t>
            </w:r>
            <w:r w:rsidRPr="003A5AA8">
              <w:rPr>
                <w:rFonts w:asciiTheme="minorHAnsi" w:hAnsiTheme="minorHAnsi"/>
                <w:i w:val="0"/>
                <w:color w:val="auto"/>
              </w:rPr>
              <w:tab/>
              <w:t xml:space="preserve">Vyšší krátkodobé využití PZP spojené s vyšším prodejem krátkodobých </w:t>
            </w:r>
            <w:proofErr w:type="spellStart"/>
            <w:r w:rsidRPr="003A5AA8">
              <w:rPr>
                <w:rFonts w:asciiTheme="minorHAnsi" w:hAnsiTheme="minorHAnsi"/>
                <w:i w:val="0"/>
                <w:color w:val="auto"/>
              </w:rPr>
              <w:t>vtláčecích</w:t>
            </w:r>
            <w:proofErr w:type="spellEnd"/>
            <w:r w:rsidRPr="003A5AA8">
              <w:rPr>
                <w:rFonts w:asciiTheme="minorHAnsi" w:hAnsiTheme="minorHAnsi"/>
                <w:i w:val="0"/>
                <w:color w:val="auto"/>
              </w:rPr>
              <w:t xml:space="preserve"> a těžebních výkonů.</w:t>
            </w:r>
          </w:p>
          <w:p w14:paraId="3D691CF7" w14:textId="39DF952A" w:rsidR="0005195A" w:rsidRPr="003A5AA8" w:rsidRDefault="0005195A" w:rsidP="00F87ABC">
            <w:pPr>
              <w:pStyle w:val="odpoved"/>
              <w:tabs>
                <w:tab w:val="left" w:pos="262"/>
              </w:tabs>
              <w:spacing w:after="0"/>
              <w:ind w:left="301"/>
              <w:contextualSpacing w:val="0"/>
              <w:rPr>
                <w:rFonts w:asciiTheme="minorHAnsi" w:hAnsiTheme="minorHAnsi"/>
                <w:i w:val="0"/>
                <w:color w:val="auto"/>
              </w:rPr>
            </w:pPr>
            <w:r w:rsidRPr="003A5AA8">
              <w:rPr>
                <w:rFonts w:asciiTheme="minorHAnsi" w:hAnsiTheme="minorHAnsi"/>
                <w:i w:val="0"/>
                <w:color w:val="auto"/>
              </w:rPr>
              <w:t>•</w:t>
            </w:r>
            <w:r w:rsidRPr="003A5AA8">
              <w:rPr>
                <w:rFonts w:asciiTheme="minorHAnsi" w:hAnsiTheme="minorHAnsi"/>
                <w:i w:val="0"/>
                <w:color w:val="auto"/>
              </w:rPr>
              <w:tab/>
              <w:t>Obchodování plynu v zásobníku na úrovni V</w:t>
            </w:r>
            <w:r w:rsidR="002B5B31" w:rsidRPr="003A5AA8">
              <w:rPr>
                <w:rFonts w:asciiTheme="minorHAnsi" w:hAnsiTheme="minorHAnsi"/>
                <w:i w:val="0"/>
                <w:color w:val="auto"/>
              </w:rPr>
              <w:t>OB</w:t>
            </w:r>
            <w:r w:rsidRPr="003A5AA8">
              <w:rPr>
                <w:rFonts w:asciiTheme="minorHAnsi" w:hAnsiTheme="minorHAnsi"/>
                <w:i w:val="0"/>
                <w:color w:val="auto"/>
              </w:rPr>
              <w:t xml:space="preserve">. </w:t>
            </w:r>
          </w:p>
          <w:p w14:paraId="0488F21F" w14:textId="77777777" w:rsidR="0005195A" w:rsidRPr="003A5AA8" w:rsidRDefault="0005195A" w:rsidP="00F87ABC">
            <w:pPr>
              <w:pStyle w:val="odpoved"/>
              <w:tabs>
                <w:tab w:val="left" w:pos="262"/>
              </w:tabs>
              <w:spacing w:after="0"/>
              <w:ind w:left="301"/>
              <w:contextualSpacing w:val="0"/>
              <w:rPr>
                <w:rFonts w:asciiTheme="minorHAnsi" w:hAnsiTheme="minorHAnsi"/>
                <w:i w:val="0"/>
                <w:color w:val="auto"/>
              </w:rPr>
            </w:pPr>
            <w:r w:rsidRPr="003A5AA8">
              <w:rPr>
                <w:rFonts w:asciiTheme="minorHAnsi" w:hAnsiTheme="minorHAnsi"/>
                <w:i w:val="0"/>
                <w:color w:val="auto"/>
              </w:rPr>
              <w:t>•</w:t>
            </w:r>
            <w:r w:rsidRPr="003A5AA8">
              <w:rPr>
                <w:rFonts w:asciiTheme="minorHAnsi" w:hAnsiTheme="minorHAnsi"/>
                <w:i w:val="0"/>
                <w:color w:val="auto"/>
              </w:rPr>
              <w:tab/>
              <w:t>Obchodování se skladovací kapacitou (</w:t>
            </w:r>
            <w:proofErr w:type="spellStart"/>
            <w:r w:rsidRPr="003A5AA8">
              <w:rPr>
                <w:rFonts w:asciiTheme="minorHAnsi" w:hAnsiTheme="minorHAnsi"/>
                <w:i w:val="0"/>
                <w:color w:val="auto"/>
              </w:rPr>
              <w:t>bundle</w:t>
            </w:r>
            <w:proofErr w:type="spellEnd"/>
            <w:r w:rsidRPr="003A5AA8">
              <w:rPr>
                <w:rFonts w:asciiTheme="minorHAnsi" w:hAnsiTheme="minorHAnsi"/>
                <w:i w:val="0"/>
                <w:color w:val="auto"/>
              </w:rPr>
              <w:t>), nebo s jednotlivými položkami zvlášť.</w:t>
            </w:r>
          </w:p>
          <w:p w14:paraId="14BD4031" w14:textId="77777777" w:rsidR="0005195A" w:rsidRPr="003A5AA8" w:rsidRDefault="0005195A" w:rsidP="00F87ABC">
            <w:pPr>
              <w:pStyle w:val="odpoved"/>
              <w:tabs>
                <w:tab w:val="left" w:pos="262"/>
              </w:tabs>
              <w:spacing w:after="0"/>
              <w:ind w:left="301"/>
              <w:contextualSpacing w:val="0"/>
              <w:rPr>
                <w:rFonts w:asciiTheme="minorHAnsi" w:hAnsiTheme="minorHAnsi"/>
                <w:i w:val="0"/>
                <w:color w:val="auto"/>
              </w:rPr>
            </w:pPr>
            <w:r w:rsidRPr="003A5AA8">
              <w:rPr>
                <w:rFonts w:asciiTheme="minorHAnsi" w:hAnsiTheme="minorHAnsi"/>
                <w:i w:val="0"/>
                <w:color w:val="auto"/>
              </w:rPr>
              <w:t>•</w:t>
            </w:r>
            <w:r w:rsidRPr="003A5AA8">
              <w:rPr>
                <w:rFonts w:asciiTheme="minorHAnsi" w:hAnsiTheme="minorHAnsi"/>
                <w:i w:val="0"/>
                <w:color w:val="auto"/>
              </w:rPr>
              <w:tab/>
              <w:t>Obchodování se skladovací kapacitou (</w:t>
            </w:r>
            <w:proofErr w:type="spellStart"/>
            <w:r w:rsidRPr="003A5AA8">
              <w:rPr>
                <w:rFonts w:asciiTheme="minorHAnsi" w:hAnsiTheme="minorHAnsi"/>
                <w:i w:val="0"/>
                <w:color w:val="auto"/>
              </w:rPr>
              <w:t>bundle</w:t>
            </w:r>
            <w:proofErr w:type="spellEnd"/>
            <w:r w:rsidRPr="003A5AA8">
              <w:rPr>
                <w:rFonts w:asciiTheme="minorHAnsi" w:hAnsiTheme="minorHAnsi"/>
                <w:i w:val="0"/>
                <w:color w:val="auto"/>
              </w:rPr>
              <w:t>) zároveň s objemem.</w:t>
            </w:r>
          </w:p>
          <w:p w14:paraId="3B5462BB" w14:textId="77777777" w:rsidR="0005195A" w:rsidRPr="003A5AA8" w:rsidRDefault="0005195A" w:rsidP="00F87ABC">
            <w:pPr>
              <w:pStyle w:val="odpoved"/>
              <w:tabs>
                <w:tab w:val="left" w:pos="262"/>
              </w:tabs>
              <w:spacing w:after="0"/>
              <w:ind w:left="301"/>
              <w:contextualSpacing w:val="0"/>
              <w:rPr>
                <w:rFonts w:asciiTheme="minorHAnsi" w:hAnsiTheme="minorHAnsi"/>
                <w:i w:val="0"/>
                <w:color w:val="auto"/>
              </w:rPr>
            </w:pPr>
            <w:r w:rsidRPr="003A5AA8">
              <w:rPr>
                <w:rFonts w:asciiTheme="minorHAnsi" w:hAnsiTheme="minorHAnsi"/>
                <w:i w:val="0"/>
                <w:color w:val="auto"/>
              </w:rPr>
              <w:t>•</w:t>
            </w:r>
            <w:r w:rsidRPr="003A5AA8">
              <w:rPr>
                <w:rFonts w:asciiTheme="minorHAnsi" w:hAnsiTheme="minorHAnsi"/>
                <w:i w:val="0"/>
                <w:color w:val="auto"/>
              </w:rPr>
              <w:tab/>
              <w:t>Dočasné přenechání kapacity nebo obchodování při omezeních z důvodu odstávek zařízení s výkony bez objemu a bez plynu.</w:t>
            </w:r>
            <w:r w:rsidR="006A2641" w:rsidRPr="003A5AA8">
              <w:rPr>
                <w:rFonts w:asciiTheme="minorHAnsi" w:hAnsiTheme="minorHAnsi"/>
                <w:i w:val="0"/>
                <w:color w:val="auto"/>
              </w:rPr>
              <w:t>, obecně pro SSO možnost rozšířit portfolio služeb.</w:t>
            </w:r>
          </w:p>
        </w:tc>
        <w:tc>
          <w:tcPr>
            <w:tcW w:w="4105" w:type="dxa"/>
          </w:tcPr>
          <w:p w14:paraId="2F5C6BFD" w14:textId="77777777" w:rsidR="006A2641" w:rsidRPr="003A5AA8" w:rsidRDefault="006A2641" w:rsidP="00F87ABC">
            <w:pPr>
              <w:pStyle w:val="odpoved"/>
              <w:tabs>
                <w:tab w:val="left" w:pos="262"/>
              </w:tabs>
              <w:spacing w:after="0"/>
              <w:ind w:left="0"/>
              <w:contextualSpacing w:val="0"/>
              <w:rPr>
                <w:rFonts w:asciiTheme="minorHAnsi" w:hAnsiTheme="minorHAnsi"/>
                <w:i w:val="0"/>
                <w:color w:val="auto"/>
              </w:rPr>
            </w:pPr>
            <w:r w:rsidRPr="003A5AA8">
              <w:rPr>
                <w:rFonts w:asciiTheme="minorHAnsi" w:hAnsiTheme="minorHAnsi"/>
                <w:i w:val="0"/>
                <w:color w:val="auto"/>
              </w:rPr>
              <w:t>Hrozby:</w:t>
            </w:r>
          </w:p>
          <w:p w14:paraId="4976A728" w14:textId="3FE4CC7D" w:rsidR="0005195A" w:rsidRPr="003A5AA8" w:rsidRDefault="0005195A" w:rsidP="00F87ABC">
            <w:pPr>
              <w:pStyle w:val="odpoved"/>
              <w:tabs>
                <w:tab w:val="left" w:pos="262"/>
              </w:tabs>
              <w:spacing w:after="0"/>
              <w:ind w:left="0"/>
              <w:contextualSpacing w:val="0"/>
              <w:rPr>
                <w:rFonts w:asciiTheme="minorHAnsi" w:hAnsiTheme="minorHAnsi"/>
                <w:i w:val="0"/>
                <w:color w:val="auto"/>
              </w:rPr>
            </w:pPr>
          </w:p>
        </w:tc>
      </w:tr>
    </w:tbl>
    <w:p w14:paraId="43044F64" w14:textId="77777777" w:rsidR="00245A4C" w:rsidRPr="003A5AA8" w:rsidRDefault="00245A4C" w:rsidP="00245A4C">
      <w:pPr>
        <w:pStyle w:val="Odstavecseseznamem"/>
        <w:rPr>
          <w:rFonts w:asciiTheme="minorHAnsi" w:hAnsiTheme="minorHAnsi"/>
          <w:b/>
          <w:i w:val="0"/>
        </w:rPr>
      </w:pPr>
    </w:p>
    <w:p w14:paraId="21049183" w14:textId="77777777" w:rsidR="00E83EDC" w:rsidRPr="003A5AA8" w:rsidRDefault="00E83EDC" w:rsidP="00E83EDC">
      <w:pPr>
        <w:pStyle w:val="Nadpis1"/>
      </w:pPr>
      <w:bookmarkStart w:id="15" w:name="_Toc477323764"/>
      <w:r w:rsidRPr="003A5AA8">
        <w:t>Zhodnocení rizik návrhu</w:t>
      </w:r>
      <w:bookmarkEnd w:id="15"/>
    </w:p>
    <w:p w14:paraId="474F0D3B" w14:textId="77777777" w:rsidR="00E83EDC" w:rsidRPr="003A5AA8" w:rsidRDefault="00E83EDC" w:rsidP="00E83EDC">
      <w:pPr>
        <w:pStyle w:val="odpoved"/>
        <w:spacing w:after="0"/>
        <w:ind w:left="0"/>
        <w:contextualSpacing w:val="0"/>
        <w:rPr>
          <w:rFonts w:asciiTheme="minorHAnsi" w:hAnsiTheme="minorHAnsi"/>
          <w:i w:val="0"/>
          <w:color w:val="auto"/>
        </w:rPr>
      </w:pPr>
      <w:r w:rsidRPr="003A5AA8">
        <w:rPr>
          <w:rFonts w:asciiTheme="minorHAnsi" w:hAnsiTheme="minorHAnsi"/>
          <w:i w:val="0"/>
          <w:color w:val="auto"/>
        </w:rPr>
        <w:t>Nevidíme reálná rizika, návrh je vcelku jednoduše proveditelný a nemá negativní dopad, kromě nutnosti registrace zahraničních skladovatelů dosud neregistrovaných na OTE.</w:t>
      </w:r>
    </w:p>
    <w:p w14:paraId="088AC7D8" w14:textId="77777777" w:rsidR="00122B24" w:rsidRPr="003A5AA8" w:rsidRDefault="00122B24" w:rsidP="00652967">
      <w:pPr>
        <w:ind w:left="284"/>
        <w:rPr>
          <w:rFonts w:asciiTheme="minorHAnsi" w:hAnsiTheme="minorHAnsi"/>
          <w:b/>
        </w:rPr>
      </w:pPr>
    </w:p>
    <w:p w14:paraId="6698DFFB" w14:textId="77777777" w:rsidR="004E6219" w:rsidRPr="003A5AA8" w:rsidRDefault="004E6219" w:rsidP="004E6219">
      <w:pPr>
        <w:pStyle w:val="Nadpis1"/>
      </w:pPr>
      <w:bookmarkStart w:id="16" w:name="_Toc477323765"/>
      <w:r w:rsidRPr="003A5AA8">
        <w:lastRenderedPageBreak/>
        <w:t>Zhodnocení trhu se skladovací kapacitou v zemích EU a popis regulatorních režimů v zemích, kde se uplatňuje řešení p</w:t>
      </w:r>
      <w:bookmarkStart w:id="17" w:name="_Toc466670316"/>
      <w:r w:rsidRPr="003A5AA8">
        <w:t>odobné s návrhem</w:t>
      </w:r>
      <w:bookmarkEnd w:id="16"/>
    </w:p>
    <w:p w14:paraId="11D599DF" w14:textId="77777777" w:rsidR="004E6219" w:rsidRPr="003A5AA8" w:rsidRDefault="004E6219" w:rsidP="004E6219">
      <w:pPr>
        <w:pStyle w:val="odpoved"/>
        <w:spacing w:after="0"/>
        <w:ind w:left="0"/>
        <w:contextualSpacing w:val="0"/>
        <w:rPr>
          <w:rFonts w:asciiTheme="minorHAnsi" w:hAnsiTheme="minorHAnsi"/>
          <w:i w:val="0"/>
          <w:color w:val="auto"/>
        </w:rPr>
      </w:pPr>
      <w:r w:rsidRPr="003A5AA8">
        <w:rPr>
          <w:rFonts w:asciiTheme="minorHAnsi" w:hAnsiTheme="minorHAnsi"/>
          <w:i w:val="0"/>
          <w:color w:val="auto"/>
        </w:rPr>
        <w:t>Podobný model jako námi navrhovaný využívá Dánsko:</w:t>
      </w:r>
    </w:p>
    <w:p w14:paraId="4A7CB2E3" w14:textId="77777777" w:rsidR="004E6219" w:rsidRPr="003A5AA8" w:rsidRDefault="004E6219" w:rsidP="004E6219">
      <w:pPr>
        <w:pStyle w:val="odpoved"/>
        <w:spacing w:before="120" w:after="0"/>
        <w:ind w:left="0"/>
        <w:contextualSpacing w:val="0"/>
        <w:rPr>
          <w:rFonts w:asciiTheme="minorHAnsi" w:hAnsiTheme="minorHAnsi"/>
          <w:b/>
          <w:i w:val="0"/>
          <w:color w:val="auto"/>
        </w:rPr>
      </w:pPr>
      <w:r w:rsidRPr="003A5AA8">
        <w:rPr>
          <w:rFonts w:asciiTheme="minorHAnsi" w:hAnsiTheme="minorHAnsi"/>
          <w:b/>
          <w:i w:val="0"/>
          <w:color w:val="auto"/>
        </w:rPr>
        <w:t>Dánský obchodní model se skládá z následujících částí:</w:t>
      </w:r>
    </w:p>
    <w:p w14:paraId="2CE7951E" w14:textId="35DF19CB" w:rsidR="004E6219" w:rsidRPr="003A5AA8" w:rsidRDefault="004E6219" w:rsidP="004E6219">
      <w:pPr>
        <w:pStyle w:val="odpoved"/>
        <w:tabs>
          <w:tab w:val="left" w:pos="1276"/>
        </w:tabs>
        <w:spacing w:after="0"/>
        <w:ind w:left="0" w:firstLine="273"/>
        <w:contextualSpacing w:val="0"/>
        <w:rPr>
          <w:rFonts w:asciiTheme="minorHAnsi" w:hAnsiTheme="minorHAnsi"/>
          <w:i w:val="0"/>
          <w:color w:val="auto"/>
        </w:rPr>
      </w:pPr>
      <w:r>
        <w:rPr>
          <w:rFonts w:asciiTheme="minorHAnsi" w:hAnsiTheme="minorHAnsi"/>
          <w:i w:val="0"/>
          <w:color w:val="auto"/>
        </w:rPr>
        <w:t xml:space="preserve">• </w:t>
      </w:r>
      <w:r w:rsidRPr="003A5AA8">
        <w:rPr>
          <w:rFonts w:asciiTheme="minorHAnsi" w:hAnsiTheme="minorHAnsi"/>
          <w:i w:val="0"/>
          <w:color w:val="auto"/>
        </w:rPr>
        <w:t>3 vstupně výstupní body (</w:t>
      </w:r>
      <w:proofErr w:type="spellStart"/>
      <w:r w:rsidRPr="003A5AA8">
        <w:rPr>
          <w:rFonts w:asciiTheme="minorHAnsi" w:hAnsiTheme="minorHAnsi"/>
          <w:i w:val="0"/>
          <w:color w:val="auto"/>
        </w:rPr>
        <w:t>Nybro</w:t>
      </w:r>
      <w:proofErr w:type="spellEnd"/>
      <w:r w:rsidRPr="003A5AA8">
        <w:rPr>
          <w:rFonts w:asciiTheme="minorHAnsi" w:hAnsiTheme="minorHAnsi"/>
          <w:i w:val="0"/>
          <w:color w:val="auto"/>
        </w:rPr>
        <w:t xml:space="preserve">, </w:t>
      </w:r>
      <w:proofErr w:type="spellStart"/>
      <w:r w:rsidRPr="003A5AA8">
        <w:rPr>
          <w:rFonts w:asciiTheme="minorHAnsi" w:hAnsiTheme="minorHAnsi"/>
          <w:i w:val="0"/>
          <w:color w:val="auto"/>
        </w:rPr>
        <w:t>Ellund</w:t>
      </w:r>
      <w:proofErr w:type="spellEnd"/>
      <w:r w:rsidRPr="003A5AA8">
        <w:rPr>
          <w:rFonts w:asciiTheme="minorHAnsi" w:hAnsiTheme="minorHAnsi"/>
          <w:i w:val="0"/>
          <w:color w:val="auto"/>
        </w:rPr>
        <w:t xml:space="preserve"> a </w:t>
      </w:r>
      <w:proofErr w:type="spellStart"/>
      <w:r w:rsidRPr="003A5AA8">
        <w:rPr>
          <w:rFonts w:asciiTheme="minorHAnsi" w:hAnsiTheme="minorHAnsi"/>
          <w:i w:val="0"/>
          <w:color w:val="auto"/>
        </w:rPr>
        <w:t>Dragør</w:t>
      </w:r>
      <w:proofErr w:type="spellEnd"/>
      <w:r w:rsidRPr="003A5AA8">
        <w:rPr>
          <w:rFonts w:asciiTheme="minorHAnsi" w:hAnsiTheme="minorHAnsi"/>
          <w:i w:val="0"/>
          <w:color w:val="auto"/>
        </w:rPr>
        <w:t>)</w:t>
      </w:r>
    </w:p>
    <w:p w14:paraId="4B5073E5" w14:textId="0C323B44" w:rsidR="004E6219" w:rsidRPr="003A5AA8" w:rsidRDefault="004E6219" w:rsidP="004E6219">
      <w:pPr>
        <w:pStyle w:val="odpoved"/>
        <w:tabs>
          <w:tab w:val="left" w:pos="1276"/>
        </w:tabs>
        <w:spacing w:after="0"/>
        <w:ind w:left="0" w:firstLine="273"/>
        <w:contextualSpacing w:val="0"/>
        <w:rPr>
          <w:rFonts w:asciiTheme="minorHAnsi" w:hAnsiTheme="minorHAnsi"/>
          <w:i w:val="0"/>
          <w:color w:val="auto"/>
        </w:rPr>
      </w:pPr>
      <w:r>
        <w:rPr>
          <w:rFonts w:asciiTheme="minorHAnsi" w:hAnsiTheme="minorHAnsi"/>
          <w:i w:val="0"/>
          <w:color w:val="auto"/>
        </w:rPr>
        <w:t xml:space="preserve">• </w:t>
      </w:r>
      <w:r w:rsidRPr="003A5AA8">
        <w:rPr>
          <w:rFonts w:asciiTheme="minorHAnsi" w:hAnsiTheme="minorHAnsi"/>
          <w:i w:val="0"/>
          <w:color w:val="auto"/>
        </w:rPr>
        <w:t>1 vstupní bod pro bioplyn (BNG)</w:t>
      </w:r>
    </w:p>
    <w:p w14:paraId="687AE36B" w14:textId="0724B2E9" w:rsidR="004E6219" w:rsidRPr="003A5AA8" w:rsidRDefault="004E6219" w:rsidP="004E6219">
      <w:pPr>
        <w:pStyle w:val="odpoved"/>
        <w:tabs>
          <w:tab w:val="left" w:pos="1276"/>
        </w:tabs>
        <w:spacing w:after="0"/>
        <w:ind w:left="0" w:firstLine="273"/>
        <w:contextualSpacing w:val="0"/>
        <w:rPr>
          <w:rFonts w:asciiTheme="minorHAnsi" w:hAnsiTheme="minorHAnsi"/>
          <w:i w:val="0"/>
          <w:color w:val="auto"/>
        </w:rPr>
      </w:pPr>
      <w:r>
        <w:rPr>
          <w:rFonts w:asciiTheme="minorHAnsi" w:hAnsiTheme="minorHAnsi"/>
          <w:i w:val="0"/>
          <w:color w:val="auto"/>
        </w:rPr>
        <w:t xml:space="preserve">• </w:t>
      </w:r>
      <w:r w:rsidRPr="003A5AA8">
        <w:rPr>
          <w:rFonts w:asciiTheme="minorHAnsi" w:hAnsiTheme="minorHAnsi"/>
          <w:i w:val="0"/>
          <w:color w:val="auto"/>
        </w:rPr>
        <w:t>1 výstupní domácí zóna (složena ze tří distribučních zón)</w:t>
      </w:r>
    </w:p>
    <w:p w14:paraId="4D7367CC" w14:textId="0FB50BCC" w:rsidR="004E6219" w:rsidRPr="003A5AA8" w:rsidRDefault="004E6219" w:rsidP="004E6219">
      <w:pPr>
        <w:pStyle w:val="odpoved"/>
        <w:tabs>
          <w:tab w:val="left" w:pos="1276"/>
        </w:tabs>
        <w:spacing w:after="0"/>
        <w:ind w:left="0" w:firstLine="273"/>
        <w:contextualSpacing w:val="0"/>
        <w:rPr>
          <w:rFonts w:asciiTheme="minorHAnsi" w:hAnsiTheme="minorHAnsi"/>
          <w:i w:val="0"/>
          <w:color w:val="auto"/>
        </w:rPr>
      </w:pPr>
      <w:r>
        <w:rPr>
          <w:rFonts w:asciiTheme="minorHAnsi" w:hAnsiTheme="minorHAnsi"/>
          <w:i w:val="0"/>
          <w:color w:val="auto"/>
        </w:rPr>
        <w:t xml:space="preserve">• </w:t>
      </w:r>
      <w:r w:rsidRPr="003A5AA8">
        <w:rPr>
          <w:rFonts w:asciiTheme="minorHAnsi" w:hAnsiTheme="minorHAnsi"/>
          <w:i w:val="0"/>
          <w:color w:val="auto"/>
        </w:rPr>
        <w:t>2 virtuální prodejní body (GTF a ETF resp. NPTF)</w:t>
      </w:r>
    </w:p>
    <w:p w14:paraId="5F61D479" w14:textId="77777777" w:rsidR="004E6219" w:rsidRPr="003A5AA8" w:rsidRDefault="004E6219" w:rsidP="004E6219">
      <w:pPr>
        <w:pStyle w:val="odpoved"/>
        <w:tabs>
          <w:tab w:val="left" w:pos="1560"/>
        </w:tabs>
        <w:spacing w:after="0"/>
        <w:ind w:left="1560" w:hanging="284"/>
        <w:contextualSpacing w:val="0"/>
        <w:rPr>
          <w:rFonts w:asciiTheme="minorHAnsi" w:hAnsiTheme="minorHAnsi"/>
          <w:i w:val="0"/>
          <w:color w:val="auto"/>
        </w:rPr>
      </w:pPr>
      <w:r w:rsidRPr="003A5AA8">
        <w:rPr>
          <w:rFonts w:asciiTheme="minorHAnsi" w:hAnsiTheme="minorHAnsi"/>
          <w:i w:val="0"/>
          <w:color w:val="auto"/>
        </w:rPr>
        <w:t>-</w:t>
      </w:r>
      <w:r w:rsidRPr="003A5AA8">
        <w:rPr>
          <w:rFonts w:asciiTheme="minorHAnsi" w:hAnsiTheme="minorHAnsi"/>
          <w:i w:val="0"/>
          <w:color w:val="auto"/>
        </w:rPr>
        <w:tab/>
        <w:t>GTF – Umožňuje primárně obchodování plynu mezi obchodníky/dovozci.</w:t>
      </w:r>
    </w:p>
    <w:p w14:paraId="47211E38" w14:textId="77777777" w:rsidR="004E6219" w:rsidRPr="003A5AA8" w:rsidRDefault="004E6219" w:rsidP="004E6219">
      <w:pPr>
        <w:pStyle w:val="odpoved"/>
        <w:tabs>
          <w:tab w:val="left" w:pos="1560"/>
        </w:tabs>
        <w:spacing w:after="0"/>
        <w:ind w:left="1560" w:hanging="284"/>
        <w:contextualSpacing w:val="0"/>
        <w:rPr>
          <w:rFonts w:asciiTheme="minorHAnsi" w:hAnsiTheme="minorHAnsi"/>
          <w:i w:val="0"/>
          <w:color w:val="auto"/>
        </w:rPr>
      </w:pPr>
      <w:r w:rsidRPr="003A5AA8">
        <w:rPr>
          <w:rFonts w:asciiTheme="minorHAnsi" w:hAnsiTheme="minorHAnsi"/>
          <w:i w:val="0"/>
          <w:color w:val="auto"/>
        </w:rPr>
        <w:t>-</w:t>
      </w:r>
      <w:r w:rsidRPr="003A5AA8">
        <w:rPr>
          <w:rFonts w:asciiTheme="minorHAnsi" w:hAnsiTheme="minorHAnsi"/>
          <w:i w:val="0"/>
          <w:color w:val="auto"/>
        </w:rPr>
        <w:tab/>
        <w:t xml:space="preserve">ETF resp. NPTF – Jedná se o burzu </w:t>
      </w:r>
      <w:proofErr w:type="spellStart"/>
      <w:r w:rsidRPr="003A5AA8">
        <w:rPr>
          <w:rFonts w:asciiTheme="minorHAnsi" w:hAnsiTheme="minorHAnsi"/>
          <w:i w:val="0"/>
          <w:color w:val="auto"/>
        </w:rPr>
        <w:t>Gaspoint</w:t>
      </w:r>
      <w:proofErr w:type="spellEnd"/>
      <w:r w:rsidRPr="003A5AA8">
        <w:rPr>
          <w:rFonts w:asciiTheme="minorHAnsi" w:hAnsiTheme="minorHAnsi"/>
          <w:i w:val="0"/>
          <w:color w:val="auto"/>
        </w:rPr>
        <w:t xml:space="preserve"> </w:t>
      </w:r>
      <w:proofErr w:type="spellStart"/>
      <w:r w:rsidRPr="003A5AA8">
        <w:rPr>
          <w:rFonts w:asciiTheme="minorHAnsi" w:hAnsiTheme="minorHAnsi"/>
          <w:i w:val="0"/>
          <w:color w:val="auto"/>
        </w:rPr>
        <w:t>Nordic</w:t>
      </w:r>
      <w:proofErr w:type="spellEnd"/>
      <w:r w:rsidRPr="003A5AA8">
        <w:rPr>
          <w:rFonts w:asciiTheme="minorHAnsi" w:hAnsiTheme="minorHAnsi"/>
          <w:i w:val="0"/>
          <w:color w:val="auto"/>
        </w:rPr>
        <w:t>, kde jsou obchodovány burzovní produkty spotové i forward. Bod musí být vždy vybalancovaný, proto platí pravidlo, že nominace musí být oboustranně stejná. Na rozdíl od GTF, kde platí pravidlo, že menší ze zadaných hodnot je potvrzena.</w:t>
      </w:r>
    </w:p>
    <w:p w14:paraId="5C911246" w14:textId="19E23A38" w:rsidR="004E6219" w:rsidRPr="003A5AA8" w:rsidRDefault="004E6219" w:rsidP="004E6219">
      <w:pPr>
        <w:pStyle w:val="odpoved"/>
        <w:tabs>
          <w:tab w:val="left" w:pos="1276"/>
        </w:tabs>
        <w:spacing w:after="0"/>
        <w:ind w:left="0" w:firstLine="273"/>
        <w:contextualSpacing w:val="0"/>
        <w:rPr>
          <w:rFonts w:asciiTheme="minorHAnsi" w:hAnsiTheme="minorHAnsi"/>
          <w:i w:val="0"/>
          <w:color w:val="auto"/>
        </w:rPr>
      </w:pPr>
      <w:r>
        <w:rPr>
          <w:rFonts w:asciiTheme="minorHAnsi" w:hAnsiTheme="minorHAnsi"/>
          <w:i w:val="0"/>
          <w:color w:val="auto"/>
        </w:rPr>
        <w:t xml:space="preserve">• </w:t>
      </w:r>
      <w:r w:rsidRPr="003A5AA8">
        <w:rPr>
          <w:rFonts w:asciiTheme="minorHAnsi" w:hAnsiTheme="minorHAnsi"/>
          <w:i w:val="0"/>
          <w:color w:val="auto"/>
        </w:rPr>
        <w:t>1 virtuální zásobník vzniklý spojením dvou fyzických zásobníků (</w:t>
      </w:r>
      <w:proofErr w:type="spellStart"/>
      <w:r w:rsidRPr="003A5AA8">
        <w:rPr>
          <w:rFonts w:asciiTheme="minorHAnsi" w:hAnsiTheme="minorHAnsi"/>
          <w:i w:val="0"/>
          <w:color w:val="auto"/>
        </w:rPr>
        <w:t>Stenlille</w:t>
      </w:r>
      <w:proofErr w:type="spellEnd"/>
      <w:r w:rsidRPr="003A5AA8">
        <w:rPr>
          <w:rFonts w:asciiTheme="minorHAnsi" w:hAnsiTheme="minorHAnsi"/>
          <w:i w:val="0"/>
          <w:color w:val="auto"/>
        </w:rPr>
        <w:t xml:space="preserve"> a Lille </w:t>
      </w:r>
      <w:proofErr w:type="spellStart"/>
      <w:r w:rsidRPr="003A5AA8">
        <w:rPr>
          <w:rFonts w:asciiTheme="minorHAnsi" w:hAnsiTheme="minorHAnsi"/>
          <w:i w:val="0"/>
          <w:color w:val="auto"/>
        </w:rPr>
        <w:t>Torup</w:t>
      </w:r>
      <w:proofErr w:type="spellEnd"/>
      <w:r w:rsidRPr="003A5AA8">
        <w:rPr>
          <w:rFonts w:asciiTheme="minorHAnsi" w:hAnsiTheme="minorHAnsi"/>
          <w:i w:val="0"/>
          <w:color w:val="auto"/>
        </w:rPr>
        <w:t>)</w:t>
      </w:r>
    </w:p>
    <w:p w14:paraId="4476EFA8" w14:textId="77777777" w:rsidR="004E6219" w:rsidRPr="003A5AA8" w:rsidRDefault="004E6219" w:rsidP="004E6219">
      <w:pPr>
        <w:pStyle w:val="odpoved"/>
        <w:spacing w:before="120" w:after="0"/>
        <w:ind w:left="0"/>
        <w:contextualSpacing w:val="0"/>
        <w:rPr>
          <w:rFonts w:asciiTheme="minorHAnsi" w:hAnsiTheme="minorHAnsi"/>
          <w:b/>
          <w:i w:val="0"/>
          <w:color w:val="auto"/>
        </w:rPr>
      </w:pPr>
      <w:r w:rsidRPr="003A5AA8">
        <w:rPr>
          <w:rFonts w:asciiTheme="minorHAnsi" w:hAnsiTheme="minorHAnsi"/>
          <w:b/>
          <w:i w:val="0"/>
          <w:color w:val="auto"/>
        </w:rPr>
        <w:t>Obchodní napojení na plynárenskou soustavu</w:t>
      </w:r>
    </w:p>
    <w:p w14:paraId="21D4CCE9" w14:textId="77777777" w:rsidR="004E6219" w:rsidRPr="003A5AA8" w:rsidRDefault="004E6219" w:rsidP="004E6219">
      <w:pPr>
        <w:pStyle w:val="odpoved"/>
        <w:spacing w:after="0"/>
        <w:ind w:left="0"/>
        <w:contextualSpacing w:val="0"/>
        <w:rPr>
          <w:rFonts w:asciiTheme="minorHAnsi" w:hAnsiTheme="minorHAnsi"/>
          <w:i w:val="0"/>
          <w:color w:val="auto"/>
        </w:rPr>
      </w:pPr>
      <w:r w:rsidRPr="003A5AA8">
        <w:rPr>
          <w:rFonts w:asciiTheme="minorHAnsi" w:hAnsiTheme="minorHAnsi"/>
          <w:i w:val="0"/>
          <w:color w:val="auto"/>
        </w:rPr>
        <w:t>Virtuální zásobník plynu (VPZP) je na úrovni ostatních vstupně výstupních bodů (výstup z přepravní soustavy, virtuální obchodní bod, vstup do distribuční soustavy) a je součástí zóny, kterou tvoří celé Dánsko jako celek. Přepravní poplatky se platí jen při vstupu do zóny, přeprava mezi jednotlivými virtuálními body je zahrnuta v ceně vstupu.</w:t>
      </w:r>
    </w:p>
    <w:p w14:paraId="7BC5C80E" w14:textId="77777777" w:rsidR="004E6219" w:rsidRPr="003A5AA8" w:rsidRDefault="004E6219" w:rsidP="004E6219">
      <w:pPr>
        <w:pStyle w:val="odpoved"/>
        <w:spacing w:before="120" w:after="0"/>
        <w:ind w:left="0"/>
        <w:contextualSpacing w:val="0"/>
        <w:rPr>
          <w:rFonts w:asciiTheme="minorHAnsi" w:hAnsiTheme="minorHAnsi"/>
          <w:b/>
          <w:i w:val="0"/>
          <w:color w:val="auto"/>
        </w:rPr>
      </w:pPr>
      <w:r w:rsidRPr="003A5AA8">
        <w:rPr>
          <w:rFonts w:asciiTheme="minorHAnsi" w:hAnsiTheme="minorHAnsi"/>
          <w:b/>
          <w:i w:val="0"/>
          <w:color w:val="auto"/>
        </w:rPr>
        <w:t>Alokace přepravních tarifů na jednotlivé body</w:t>
      </w:r>
    </w:p>
    <w:p w14:paraId="6D98B0E0" w14:textId="77777777" w:rsidR="004E6219" w:rsidRPr="003A5AA8" w:rsidRDefault="004E6219" w:rsidP="004E6219">
      <w:pPr>
        <w:pStyle w:val="odpoved"/>
        <w:spacing w:after="0"/>
        <w:ind w:left="0"/>
        <w:contextualSpacing w:val="0"/>
        <w:rPr>
          <w:rFonts w:asciiTheme="minorHAnsi" w:hAnsiTheme="minorHAnsi"/>
          <w:i w:val="0"/>
          <w:color w:val="auto"/>
        </w:rPr>
      </w:pPr>
      <w:r w:rsidRPr="003A5AA8">
        <w:rPr>
          <w:rFonts w:asciiTheme="minorHAnsi" w:hAnsiTheme="minorHAnsi"/>
          <w:i w:val="0"/>
          <w:color w:val="auto"/>
        </w:rPr>
        <w:t>Na základě zákona o dodávkách plynu jsou jednotlivý síťový provozovatelé (TSO, DSO, LNG, apod.) zodpovědní za stanovení a vypočítání tarifů a ostatních položek ceny. Proto NRA nevydává cenové rozhodnutí stejným způsobem, jak je tomu zvykem v ČR. Dánský NRA pouze monitoruje výši tarifů a dle zákona o dodávkách plynu má možnost, v případě nesouhlasu se zveřejněnými ceníky provozovatelů, vydat vlastní rozhodnutí. NRA zveřejňuje na svých internetových stránkách alokační model pro TSO, kde jsou analyzovány jednotlivé přepravní body a určena jejich nákladovost. Přepravní body jsou v tomto případě hraniční body, výstupní domácí bod a vstupní bod pro bioplyn. Na body virtuálního zásobníku plynu se stanovení cen přepravy nevztahuje. Na tomto základě jsou poté dopočteny tarify za využití jednotlivých bodů pro TSO samotným TSO. Základním předpokladem pro takto stanovený tarifní systém byl požadavek na flexibilní a efektivní využívání celého systému. Celá dánská přepravní soustava byla od počátku koncipována jako logický celek obsahující nejen potrubí, kompresory apod., ale i podzemní zásobníky plynu. Domníváme se proto, že to je primární a hlavní důvod neexistence speciálního přepravního tarifu pro PZP, neboť by tímto tarifem byla přeprava plynu zpoplatněna dvakrát. V prvním případě prostřednictvím přepravy z/do hraničních bodů a v druhém případě prostřednictvím přepravy do/z podzemního zásobníku.</w:t>
      </w:r>
    </w:p>
    <w:p w14:paraId="15C681E1" w14:textId="77777777" w:rsidR="004E6219" w:rsidRPr="003A5AA8" w:rsidRDefault="004E6219" w:rsidP="004E6219">
      <w:pPr>
        <w:pStyle w:val="odpoved"/>
        <w:spacing w:before="120" w:after="0"/>
        <w:ind w:left="0"/>
        <w:contextualSpacing w:val="0"/>
        <w:rPr>
          <w:rFonts w:asciiTheme="minorHAnsi" w:hAnsiTheme="minorHAnsi"/>
          <w:b/>
          <w:i w:val="0"/>
          <w:color w:val="auto"/>
        </w:rPr>
      </w:pPr>
      <w:r w:rsidRPr="003A5AA8">
        <w:rPr>
          <w:rFonts w:asciiTheme="minorHAnsi" w:hAnsiTheme="minorHAnsi"/>
          <w:b/>
          <w:i w:val="0"/>
          <w:color w:val="auto"/>
        </w:rPr>
        <w:t>Zdroje informací:</w:t>
      </w:r>
    </w:p>
    <w:p w14:paraId="7B715BFE" w14:textId="77777777" w:rsidR="004E6219" w:rsidRPr="003A5AA8" w:rsidRDefault="004E6219" w:rsidP="004E6219">
      <w:pPr>
        <w:pStyle w:val="odpoved"/>
        <w:spacing w:after="0"/>
        <w:ind w:left="0"/>
        <w:contextualSpacing w:val="0"/>
        <w:jc w:val="left"/>
        <w:rPr>
          <w:rFonts w:asciiTheme="minorHAnsi" w:hAnsiTheme="minorHAnsi"/>
          <w:i w:val="0"/>
          <w:color w:val="auto"/>
        </w:rPr>
      </w:pPr>
      <w:r w:rsidRPr="003A5AA8">
        <w:rPr>
          <w:rFonts w:asciiTheme="minorHAnsi" w:hAnsiTheme="minorHAnsi"/>
          <w:i w:val="0"/>
          <w:color w:val="auto"/>
        </w:rPr>
        <w:t xml:space="preserve">Stanovení ceny (zákon o dodávkách plynu, kapitola 7): </w:t>
      </w:r>
      <w:r w:rsidRPr="003A5AA8">
        <w:rPr>
          <w:rFonts w:asciiTheme="minorHAnsi" w:hAnsiTheme="minorHAnsi" w:cs="Arial"/>
          <w:i w:val="0"/>
          <w:color w:val="auto"/>
        </w:rPr>
        <w:t>https://www.retsinformation.dk/forms/R0710.aspx?id=183812#id378817ec-6480-448c-955a-984c9bdc51f2</w:t>
      </w:r>
    </w:p>
    <w:p w14:paraId="46E31583" w14:textId="77777777" w:rsidR="004E6219" w:rsidRPr="003A5AA8" w:rsidRDefault="004E6219" w:rsidP="004E6219">
      <w:pPr>
        <w:pStyle w:val="odpoved"/>
        <w:spacing w:after="0"/>
        <w:ind w:left="0"/>
        <w:contextualSpacing w:val="0"/>
        <w:jc w:val="left"/>
        <w:rPr>
          <w:rFonts w:asciiTheme="minorHAnsi" w:hAnsiTheme="minorHAnsi"/>
          <w:i w:val="0"/>
          <w:color w:val="auto"/>
        </w:rPr>
      </w:pPr>
      <w:r w:rsidRPr="003A5AA8">
        <w:rPr>
          <w:rFonts w:asciiTheme="minorHAnsi" w:hAnsiTheme="minorHAnsi"/>
          <w:i w:val="0"/>
          <w:color w:val="auto"/>
        </w:rPr>
        <w:t xml:space="preserve">Ceny TSO: </w:t>
      </w:r>
      <w:r w:rsidRPr="003A5AA8">
        <w:rPr>
          <w:rFonts w:asciiTheme="minorHAnsi" w:hAnsiTheme="minorHAnsi" w:cs="Arial"/>
          <w:i w:val="0"/>
          <w:color w:val="auto"/>
        </w:rPr>
        <w:t>http://www.energinet.dk/EN/GAS/Produkter-og-handel/Transmissionstarif-prisblad/Sider/default.aspx</w:t>
      </w:r>
    </w:p>
    <w:p w14:paraId="10BD0E58" w14:textId="77777777" w:rsidR="004E6219" w:rsidRDefault="004E6219" w:rsidP="004E6219">
      <w:pPr>
        <w:pStyle w:val="odpoved"/>
        <w:spacing w:after="0"/>
        <w:ind w:left="0"/>
        <w:contextualSpacing w:val="0"/>
        <w:rPr>
          <w:rFonts w:asciiTheme="minorHAnsi" w:hAnsiTheme="minorHAnsi" w:cs="Arial"/>
          <w:i w:val="0"/>
          <w:color w:val="auto"/>
        </w:rPr>
      </w:pPr>
      <w:r w:rsidRPr="003A5AA8">
        <w:rPr>
          <w:rFonts w:asciiTheme="minorHAnsi" w:hAnsiTheme="minorHAnsi"/>
          <w:i w:val="0"/>
          <w:color w:val="auto"/>
        </w:rPr>
        <w:t xml:space="preserve">Rozhodnutí NRA: </w:t>
      </w:r>
      <w:hyperlink r:id="rId15" w:history="1">
        <w:r w:rsidRPr="001F49E9">
          <w:rPr>
            <w:rStyle w:val="Hypertextovodkaz"/>
            <w:rFonts w:asciiTheme="minorHAnsi" w:hAnsiTheme="minorHAnsi" w:cs="Arial"/>
            <w:i w:val="0"/>
          </w:rPr>
          <w:t>http://energitilsynet.dk/gas/afgoerelser/</w:t>
        </w:r>
      </w:hyperlink>
      <w:bookmarkEnd w:id="17"/>
    </w:p>
    <w:p w14:paraId="4E61F67E" w14:textId="77777777" w:rsidR="001A579A" w:rsidRDefault="001A579A" w:rsidP="001A579A">
      <w:pPr>
        <w:pStyle w:val="Nadpis1"/>
      </w:pPr>
      <w:bookmarkStart w:id="18" w:name="_Toc477323766"/>
      <w:r w:rsidRPr="003A5AA8">
        <w:lastRenderedPageBreak/>
        <w:t>Posouzení návrhu s  ohledem na stabilitu a dlouhodobou udr</w:t>
      </w:r>
      <w:r>
        <w:t>žitelnost regulačních principů</w:t>
      </w:r>
      <w:bookmarkEnd w:id="18"/>
    </w:p>
    <w:p w14:paraId="1F3A2E72" w14:textId="77777777" w:rsidR="001A579A" w:rsidRPr="005A4231" w:rsidRDefault="001A579A" w:rsidP="001A579A">
      <w:pPr>
        <w:pStyle w:val="Bezmezer"/>
        <w:rPr>
          <w:i/>
          <w:color w:val="5B9BD5" w:themeColor="accent1"/>
        </w:rPr>
      </w:pPr>
      <w:r w:rsidRPr="005A4231">
        <w:rPr>
          <w:i/>
          <w:color w:val="5B9BD5" w:themeColor="accent1"/>
        </w:rPr>
        <w:t>Posouzení návrhu s ohledem na stabilitu a dlouhodobou udržitelnost regulačních principů, vyváženost regulace z pohledu působení na jednotlivé účastníky trhu, objektivnost a transparentnost nastavení regulačních principů a vstupů, návaznost na platné legislativní předpisy České republiky a Evropské unie a jejich aktuální změny a zejména předvídatelnost regulace pro jednotlivé subjekty na trhu s elektřinou a plynem</w:t>
      </w:r>
    </w:p>
    <w:p w14:paraId="161489C2" w14:textId="5288C3DE" w:rsidR="001A579A" w:rsidRPr="003A5AA8" w:rsidRDefault="001A579A" w:rsidP="001A579A">
      <w:pPr>
        <w:pStyle w:val="odpoved"/>
        <w:spacing w:after="0"/>
        <w:ind w:left="0"/>
        <w:contextualSpacing w:val="0"/>
        <w:rPr>
          <w:rFonts w:asciiTheme="minorHAnsi" w:hAnsiTheme="minorHAnsi"/>
          <w:i w:val="0"/>
          <w:color w:val="auto"/>
        </w:rPr>
      </w:pPr>
      <w:r w:rsidRPr="003A5AA8">
        <w:rPr>
          <w:rFonts w:asciiTheme="minorHAnsi" w:hAnsiTheme="minorHAnsi"/>
          <w:i w:val="0"/>
          <w:color w:val="auto"/>
        </w:rPr>
        <w:t xml:space="preserve">Vzhledem k tomu, že objem českých zásobníků plynu slouží z  části k zajištění bezpečných dodávek pro zákazníky v České republice (a vyhláška o stavech nouze s tím takto i pracuje), významným úkolem </w:t>
      </w:r>
      <w:r w:rsidR="00A34C1B">
        <w:rPr>
          <w:rFonts w:asciiTheme="minorHAnsi" w:hAnsiTheme="minorHAnsi"/>
          <w:i w:val="0"/>
          <w:color w:val="auto"/>
        </w:rPr>
        <w:t>státu</w:t>
      </w:r>
      <w:r w:rsidRPr="003A5AA8">
        <w:rPr>
          <w:rFonts w:asciiTheme="minorHAnsi" w:hAnsiTheme="minorHAnsi"/>
          <w:i w:val="0"/>
          <w:color w:val="auto"/>
        </w:rPr>
        <w:t xml:space="preserve"> by tak měla být tvorba podmínek pro to, aby v České republice zásobníky plynu byly nadále provozovány a aktivně užívány a nedošlo z důvodu jejich neatraktivnosti k ukončení jejich provozu. Cena skladovací kapacity velmi přesně odráží již dnes velmi malé </w:t>
      </w:r>
      <w:proofErr w:type="spellStart"/>
      <w:r w:rsidRPr="003A5AA8">
        <w:rPr>
          <w:rFonts w:asciiTheme="minorHAnsi" w:hAnsiTheme="minorHAnsi"/>
          <w:i w:val="0"/>
          <w:color w:val="auto"/>
        </w:rPr>
        <w:t>spready</w:t>
      </w:r>
      <w:proofErr w:type="spellEnd"/>
      <w:r w:rsidRPr="003A5AA8">
        <w:rPr>
          <w:rFonts w:asciiTheme="minorHAnsi" w:hAnsiTheme="minorHAnsi"/>
          <w:i w:val="0"/>
          <w:color w:val="auto"/>
        </w:rPr>
        <w:t xml:space="preserve"> léto – zima na trhu, takže jakákoliv přirážka v podobě přepravního tarifu ať ve formě fixní sazby za kapacitu nebo poplatku za přepravené množství snižuje atraktivitu skladování jako takového. Nízký zájem obchodníků/skladovatelů o rezervaci a užívání zásobníků může prostřednictvím jimi v aukcích nabízených nízkých sazeb za skladování způsobit provozovatelům zásobníků plynu nerentabilitu zásobníky provozovat (výše uvádíme příklady již zavřených zásobníků).</w:t>
      </w:r>
    </w:p>
    <w:p w14:paraId="2CF58FC0" w14:textId="77777777" w:rsidR="001A579A" w:rsidRDefault="001A579A" w:rsidP="001A579A">
      <w:pPr>
        <w:pStyle w:val="odpoved"/>
        <w:spacing w:after="0"/>
        <w:ind w:left="0"/>
        <w:contextualSpacing w:val="0"/>
        <w:rPr>
          <w:rFonts w:asciiTheme="minorHAnsi" w:hAnsiTheme="minorHAnsi"/>
          <w:i w:val="0"/>
          <w:color w:val="auto"/>
        </w:rPr>
      </w:pPr>
      <w:r w:rsidRPr="003A5AA8">
        <w:rPr>
          <w:rFonts w:asciiTheme="minorHAnsi" w:hAnsiTheme="minorHAnsi"/>
          <w:i w:val="0"/>
          <w:color w:val="auto"/>
        </w:rPr>
        <w:t>Pokud jde o výnosy provozovatele přepravní soustavy, tak ty jsou z pohledu regulace zajištěny celkovým výběrem prostředků ze všech bodů přepravní soustavy, na kterých se rezervuje přepravní kapacita. Pokud by došlo k zrušení výnosů z jednoho z bodů, na kterých se část výnosů vybírá, nebude to mít na provozovatele přepravní soustavy citelný vliv, jelikož dané výnosy budou vybrány na jiném bodu přepravní soustavy.</w:t>
      </w:r>
    </w:p>
    <w:p w14:paraId="06A6FA44" w14:textId="4EDBAD7D" w:rsidR="00CF07A0" w:rsidRPr="003A5AA8" w:rsidRDefault="00CF07A0" w:rsidP="00E83EDC">
      <w:pPr>
        <w:pStyle w:val="Nadpis1"/>
      </w:pPr>
      <w:bookmarkStart w:id="19" w:name="_Toc477323767"/>
      <w:r w:rsidRPr="003A5AA8">
        <w:t>Vliv na bezpečnostní standard dodávky, plán preventivních opatření a plán pro stav nouze</w:t>
      </w:r>
      <w:bookmarkEnd w:id="19"/>
    </w:p>
    <w:p w14:paraId="4C09C8D7" w14:textId="6D3309D6" w:rsidR="008D161A" w:rsidRPr="003A5AA8" w:rsidRDefault="00F04D83" w:rsidP="005A4231">
      <w:pPr>
        <w:pStyle w:val="odpoved"/>
        <w:spacing w:after="0"/>
        <w:ind w:left="0"/>
        <w:contextualSpacing w:val="0"/>
        <w:rPr>
          <w:rFonts w:asciiTheme="minorHAnsi" w:hAnsiTheme="minorHAnsi"/>
          <w:i w:val="0"/>
          <w:color w:val="auto"/>
        </w:rPr>
      </w:pPr>
      <w:r w:rsidRPr="003A5AA8">
        <w:rPr>
          <w:rFonts w:asciiTheme="minorHAnsi" w:hAnsiTheme="minorHAnsi"/>
          <w:i w:val="0"/>
          <w:color w:val="auto"/>
        </w:rPr>
        <w:t>Odpadne nutnost rezervovat přepravní kapacitu pro body virtuálních zásobníků plynu</w:t>
      </w:r>
      <w:r w:rsidR="00390CA3" w:rsidRPr="003A5AA8">
        <w:rPr>
          <w:rFonts w:asciiTheme="minorHAnsi" w:hAnsiTheme="minorHAnsi"/>
          <w:i w:val="0"/>
          <w:color w:val="auto"/>
        </w:rPr>
        <w:t>, nebude však nutné upravovat vyhlášku o stavech nouze, jelikož se dnes prokázání přepravní kapacity do a z virtuálního zásobníku nepožaduje</w:t>
      </w:r>
      <w:r w:rsidRPr="003A5AA8">
        <w:rPr>
          <w:rFonts w:asciiTheme="minorHAnsi" w:hAnsiTheme="minorHAnsi"/>
          <w:i w:val="0"/>
          <w:color w:val="auto"/>
        </w:rPr>
        <w:t xml:space="preserve">. Dojde ke </w:t>
      </w:r>
      <w:r w:rsidR="00B70A61" w:rsidRPr="003A5AA8">
        <w:rPr>
          <w:rFonts w:asciiTheme="minorHAnsi" w:hAnsiTheme="minorHAnsi"/>
          <w:i w:val="0"/>
          <w:color w:val="auto"/>
        </w:rPr>
        <w:t xml:space="preserve">zlevnění </w:t>
      </w:r>
      <w:r w:rsidR="008D161A" w:rsidRPr="003A5AA8">
        <w:rPr>
          <w:rFonts w:asciiTheme="minorHAnsi" w:hAnsiTheme="minorHAnsi"/>
          <w:i w:val="0"/>
          <w:color w:val="auto"/>
        </w:rPr>
        <w:t xml:space="preserve">přístupu do </w:t>
      </w:r>
      <w:r w:rsidR="00B70A61" w:rsidRPr="003A5AA8">
        <w:rPr>
          <w:rFonts w:asciiTheme="minorHAnsi" w:hAnsiTheme="minorHAnsi"/>
          <w:i w:val="0"/>
          <w:color w:val="auto"/>
        </w:rPr>
        <w:t xml:space="preserve">zásobníku v ČR </w:t>
      </w:r>
      <w:r w:rsidR="008D161A" w:rsidRPr="003A5AA8">
        <w:rPr>
          <w:rFonts w:asciiTheme="minorHAnsi" w:hAnsiTheme="minorHAnsi"/>
          <w:i w:val="0"/>
          <w:color w:val="auto"/>
        </w:rPr>
        <w:t>a jeho využívání</w:t>
      </w:r>
      <w:r w:rsidR="00B5532D" w:rsidRPr="003A5AA8">
        <w:rPr>
          <w:rFonts w:asciiTheme="minorHAnsi" w:hAnsiTheme="minorHAnsi"/>
          <w:i w:val="0"/>
          <w:color w:val="auto"/>
        </w:rPr>
        <w:t>,</w:t>
      </w:r>
      <w:r w:rsidR="008D161A" w:rsidRPr="003A5AA8">
        <w:rPr>
          <w:rFonts w:asciiTheme="minorHAnsi" w:hAnsiTheme="minorHAnsi"/>
          <w:i w:val="0"/>
          <w:color w:val="auto"/>
        </w:rPr>
        <w:t xml:space="preserve"> </w:t>
      </w:r>
      <w:r w:rsidR="00B70A61" w:rsidRPr="003A5AA8">
        <w:rPr>
          <w:rFonts w:asciiTheme="minorHAnsi" w:hAnsiTheme="minorHAnsi"/>
          <w:i w:val="0"/>
          <w:color w:val="auto"/>
        </w:rPr>
        <w:t xml:space="preserve">a tedy i </w:t>
      </w:r>
      <w:r w:rsidR="00602C90" w:rsidRPr="003A5AA8">
        <w:rPr>
          <w:rFonts w:asciiTheme="minorHAnsi" w:hAnsiTheme="minorHAnsi"/>
          <w:i w:val="0"/>
          <w:color w:val="auto"/>
        </w:rPr>
        <w:t>poskytování služby</w:t>
      </w:r>
      <w:r w:rsidR="00390CA3" w:rsidRPr="003A5AA8">
        <w:rPr>
          <w:rFonts w:asciiTheme="minorHAnsi" w:hAnsiTheme="minorHAnsi"/>
          <w:i w:val="0"/>
          <w:color w:val="auto"/>
        </w:rPr>
        <w:t xml:space="preserve"> </w:t>
      </w:r>
      <w:r w:rsidR="00B70A61" w:rsidRPr="003A5AA8">
        <w:rPr>
          <w:rFonts w:asciiTheme="minorHAnsi" w:hAnsiTheme="minorHAnsi"/>
          <w:i w:val="0"/>
          <w:color w:val="auto"/>
        </w:rPr>
        <w:t>bezpečnostního standardu</w:t>
      </w:r>
      <w:r w:rsidR="00390CA3" w:rsidRPr="003A5AA8">
        <w:rPr>
          <w:rFonts w:asciiTheme="minorHAnsi" w:hAnsiTheme="minorHAnsi"/>
          <w:i w:val="0"/>
          <w:color w:val="auto"/>
        </w:rPr>
        <w:t xml:space="preserve">, jelikož </w:t>
      </w:r>
      <w:r w:rsidR="003C2801" w:rsidRPr="003A5AA8">
        <w:rPr>
          <w:rFonts w:asciiTheme="minorHAnsi" w:hAnsiTheme="minorHAnsi"/>
          <w:i w:val="0"/>
          <w:color w:val="auto"/>
        </w:rPr>
        <w:t>většina obchodníků</w:t>
      </w:r>
      <w:r w:rsidR="00390CA3" w:rsidRPr="003A5AA8">
        <w:rPr>
          <w:rFonts w:asciiTheme="minorHAnsi" w:hAnsiTheme="minorHAnsi"/>
          <w:i w:val="0"/>
          <w:color w:val="auto"/>
        </w:rPr>
        <w:t xml:space="preserve"> si zajišťuje BSD </w:t>
      </w:r>
      <w:r w:rsidR="003C2801" w:rsidRPr="003A5AA8">
        <w:rPr>
          <w:rFonts w:asciiTheme="minorHAnsi" w:hAnsiTheme="minorHAnsi"/>
          <w:i w:val="0"/>
          <w:color w:val="auto"/>
        </w:rPr>
        <w:t xml:space="preserve">skladováním ve virtuálních zásobníkách na území </w:t>
      </w:r>
      <w:r w:rsidR="00390CA3" w:rsidRPr="003A5AA8">
        <w:rPr>
          <w:rFonts w:asciiTheme="minorHAnsi" w:hAnsiTheme="minorHAnsi"/>
          <w:i w:val="0"/>
          <w:color w:val="auto"/>
        </w:rPr>
        <w:t>ČR</w:t>
      </w:r>
      <w:r w:rsidR="00B70A61" w:rsidRPr="003A5AA8">
        <w:rPr>
          <w:rFonts w:asciiTheme="minorHAnsi" w:hAnsiTheme="minorHAnsi"/>
          <w:i w:val="0"/>
          <w:color w:val="auto"/>
        </w:rPr>
        <w:t>.</w:t>
      </w:r>
      <w:r w:rsidR="00390CA3" w:rsidRPr="003A5AA8">
        <w:rPr>
          <w:rFonts w:asciiTheme="minorHAnsi" w:hAnsiTheme="minorHAnsi"/>
          <w:i w:val="0"/>
          <w:color w:val="auto"/>
        </w:rPr>
        <w:t xml:space="preserve"> Jiný dopad na mechanismus nastavení bezpečnostního standardu mít nový koncept nebude.</w:t>
      </w:r>
    </w:p>
    <w:p w14:paraId="2E6ACA5B" w14:textId="1A0C14FF" w:rsidR="008D161A" w:rsidRPr="003A5AA8" w:rsidRDefault="008D161A" w:rsidP="005A4231">
      <w:pPr>
        <w:pStyle w:val="odpoved"/>
        <w:spacing w:after="0"/>
        <w:ind w:left="0"/>
        <w:contextualSpacing w:val="0"/>
        <w:rPr>
          <w:rFonts w:asciiTheme="minorHAnsi" w:hAnsiTheme="minorHAnsi"/>
          <w:i w:val="0"/>
          <w:color w:val="auto"/>
        </w:rPr>
      </w:pPr>
      <w:r w:rsidRPr="003A5AA8">
        <w:rPr>
          <w:rFonts w:asciiTheme="minorHAnsi" w:hAnsiTheme="minorHAnsi"/>
          <w:i w:val="0"/>
          <w:color w:val="auto"/>
        </w:rPr>
        <w:t>Nad rámec těchto vyjádření očekáváme, že usnadnění a zlevnění přístupu do zásobníků</w:t>
      </w:r>
      <w:r w:rsidR="00A16554" w:rsidRPr="003A5AA8">
        <w:rPr>
          <w:rFonts w:asciiTheme="minorHAnsi" w:hAnsiTheme="minorHAnsi"/>
          <w:i w:val="0"/>
          <w:color w:val="auto"/>
        </w:rPr>
        <w:t xml:space="preserve"> povede k vyššímu využívání zásobníků v ČR na úkor levné</w:t>
      </w:r>
      <w:r w:rsidR="003E29B9" w:rsidRPr="003A5AA8">
        <w:rPr>
          <w:rFonts w:asciiTheme="minorHAnsi" w:hAnsiTheme="minorHAnsi"/>
          <w:i w:val="0"/>
          <w:color w:val="auto"/>
        </w:rPr>
        <w:t>ho</w:t>
      </w:r>
      <w:r w:rsidR="00A16554" w:rsidRPr="003A5AA8">
        <w:rPr>
          <w:rFonts w:asciiTheme="minorHAnsi" w:hAnsiTheme="minorHAnsi"/>
          <w:i w:val="0"/>
          <w:color w:val="auto"/>
        </w:rPr>
        <w:t xml:space="preserve"> dovozu flexibility ze zahraničních trhů, </w:t>
      </w:r>
      <w:r w:rsidR="009A05BF" w:rsidRPr="003A5AA8">
        <w:rPr>
          <w:rFonts w:asciiTheme="minorHAnsi" w:hAnsiTheme="minorHAnsi"/>
          <w:i w:val="0"/>
          <w:color w:val="auto"/>
        </w:rPr>
        <w:t>a tím pádem přispěje ke zvýšení bezpečnosti dodávek a prevenci omezujících stavů vyšším obchodním využitím a naplněním zásobníků v ČR.</w:t>
      </w:r>
      <w:r w:rsidR="003C2801" w:rsidRPr="003A5AA8">
        <w:rPr>
          <w:rFonts w:asciiTheme="minorHAnsi" w:hAnsiTheme="minorHAnsi"/>
          <w:i w:val="0"/>
          <w:color w:val="auto"/>
        </w:rPr>
        <w:t xml:space="preserve"> Žádný další dopad na plán preventivních opatření a plán pro stav nouze nepředpokládáme.</w:t>
      </w:r>
    </w:p>
    <w:p w14:paraId="0BE61E66" w14:textId="383CA3CF" w:rsidR="00F04D83" w:rsidRPr="003A5AA8" w:rsidRDefault="00E16F11" w:rsidP="00E83EDC">
      <w:pPr>
        <w:pStyle w:val="Nadpis1"/>
      </w:pPr>
      <w:bookmarkStart w:id="20" w:name="_Toc477323768"/>
      <w:r w:rsidRPr="003A5AA8">
        <w:t>Posouzení</w:t>
      </w:r>
      <w:r w:rsidR="00F04D83" w:rsidRPr="003A5AA8">
        <w:t xml:space="preserve"> návrh</w:t>
      </w:r>
      <w:r w:rsidRPr="003A5AA8">
        <w:t>u</w:t>
      </w:r>
      <w:r w:rsidR="00F04D83" w:rsidRPr="003A5AA8">
        <w:t xml:space="preserve"> z hlediska kapacitní s</w:t>
      </w:r>
      <w:r w:rsidR="00E83EDC">
        <w:t>ituace v regionu severní Moravy</w:t>
      </w:r>
      <w:bookmarkEnd w:id="20"/>
    </w:p>
    <w:p w14:paraId="1628E216" w14:textId="77777777" w:rsidR="00FF50F2" w:rsidRDefault="00FF50F2" w:rsidP="005A4231">
      <w:pPr>
        <w:pStyle w:val="odpoved"/>
        <w:spacing w:after="0"/>
        <w:ind w:left="0"/>
        <w:contextualSpacing w:val="0"/>
        <w:rPr>
          <w:rFonts w:asciiTheme="minorHAnsi" w:hAnsiTheme="minorHAnsi"/>
          <w:i w:val="0"/>
          <w:color w:val="auto"/>
        </w:rPr>
      </w:pPr>
      <w:r w:rsidRPr="003A5AA8">
        <w:rPr>
          <w:rFonts w:asciiTheme="minorHAnsi" w:hAnsiTheme="minorHAnsi"/>
          <w:i w:val="0"/>
          <w:color w:val="auto"/>
        </w:rPr>
        <w:t>Návrh nebude mít vliv na kapacitní situaci v regionu severní Moravy, jelikož nedojde ke kvalitativní změně vztahu mezi TSO/SSO/uživateli sítě. Stále bude nutná stejná míra koordinace mezi dispečinky TSO a SSO, případně DSO.</w:t>
      </w:r>
    </w:p>
    <w:p w14:paraId="09E29D10" w14:textId="77777777" w:rsidR="005A4231" w:rsidRPr="003A5AA8" w:rsidRDefault="005A4231" w:rsidP="005A4231">
      <w:pPr>
        <w:pStyle w:val="Nadpis1"/>
      </w:pPr>
      <w:bookmarkStart w:id="21" w:name="_Toc477323769"/>
      <w:r w:rsidRPr="003A5AA8">
        <w:lastRenderedPageBreak/>
        <w:t>Zhodnocení dopadu návrhu na subjekty, kte</w:t>
      </w:r>
      <w:r>
        <w:t>ré jsou součástí téhož koncernu</w:t>
      </w:r>
      <w:bookmarkEnd w:id="21"/>
    </w:p>
    <w:p w14:paraId="55B0189F" w14:textId="77777777" w:rsidR="005A4231" w:rsidRPr="003A5AA8" w:rsidRDefault="005A4231" w:rsidP="005A4231">
      <w:pPr>
        <w:pStyle w:val="odpoved"/>
        <w:spacing w:after="0"/>
        <w:ind w:left="0"/>
        <w:contextualSpacing w:val="0"/>
        <w:rPr>
          <w:rFonts w:asciiTheme="minorHAnsi" w:hAnsiTheme="minorHAnsi"/>
          <w:i w:val="0"/>
          <w:color w:val="auto"/>
        </w:rPr>
      </w:pPr>
      <w:r w:rsidRPr="003A5AA8">
        <w:rPr>
          <w:rFonts w:asciiTheme="minorHAnsi" w:hAnsiTheme="minorHAnsi"/>
          <w:i w:val="0"/>
          <w:color w:val="auto"/>
        </w:rPr>
        <w:t>V ČR existují v současnosti čtyři provozovatelé podzemních zásobníků, z nichž každý je propojen v rámci koncernu nebo jinak vlastnicky s alespoň jednou obchodní společností (</w:t>
      </w:r>
      <w:proofErr w:type="spellStart"/>
      <w:r w:rsidRPr="003A5AA8">
        <w:rPr>
          <w:rFonts w:asciiTheme="minorHAnsi" w:hAnsiTheme="minorHAnsi"/>
          <w:i w:val="0"/>
          <w:color w:val="auto"/>
        </w:rPr>
        <w:t>innogy</w:t>
      </w:r>
      <w:proofErr w:type="spellEnd"/>
      <w:r w:rsidRPr="003A5AA8">
        <w:rPr>
          <w:rFonts w:asciiTheme="minorHAnsi" w:hAnsiTheme="minorHAnsi"/>
          <w:i w:val="0"/>
          <w:color w:val="auto"/>
        </w:rPr>
        <w:t xml:space="preserve">/RWE, MND, SPP a </w:t>
      </w:r>
      <w:proofErr w:type="spellStart"/>
      <w:r w:rsidRPr="003A5AA8">
        <w:rPr>
          <w:rFonts w:asciiTheme="minorHAnsi" w:hAnsiTheme="minorHAnsi"/>
          <w:i w:val="0"/>
          <w:color w:val="auto"/>
        </w:rPr>
        <w:t>Gazprom</w:t>
      </w:r>
      <w:proofErr w:type="spellEnd"/>
      <w:r w:rsidRPr="003A5AA8">
        <w:rPr>
          <w:rFonts w:asciiTheme="minorHAnsi" w:hAnsiTheme="minorHAnsi"/>
          <w:i w:val="0"/>
          <w:color w:val="auto"/>
        </w:rPr>
        <w:t>). Protože předpokládáme, že v případě uskutečnění navrhované změny ohledně splynutí virtuálního obchodního bodu s virtuálními body zásobníků plynu by se změna týkala všech skladovatelů a všech skladovacích/přepravních smluv, dotkla by se i koncernových skladovatelů v zásobnících s historickými smlouvami.</w:t>
      </w:r>
    </w:p>
    <w:p w14:paraId="5FAD733C" w14:textId="77777777" w:rsidR="005A4231" w:rsidRPr="003A5AA8" w:rsidRDefault="005A4231" w:rsidP="005A4231">
      <w:pPr>
        <w:pStyle w:val="odpoved"/>
        <w:spacing w:after="0"/>
        <w:ind w:left="0"/>
        <w:contextualSpacing w:val="0"/>
        <w:rPr>
          <w:rFonts w:asciiTheme="minorHAnsi" w:hAnsiTheme="minorHAnsi"/>
          <w:i w:val="0"/>
          <w:color w:val="auto"/>
        </w:rPr>
      </w:pPr>
      <w:r w:rsidRPr="003A5AA8">
        <w:rPr>
          <w:rFonts w:asciiTheme="minorHAnsi" w:hAnsiTheme="minorHAnsi"/>
          <w:i w:val="0"/>
          <w:color w:val="auto"/>
        </w:rPr>
        <w:t xml:space="preserve">Snaha o zavedení tohoto opatření není motivována pozitivním dopadem na stávající skladovatele, snížení nákladů se bude týkat všech skladovatelů, a to jak současných, tak budoucích. RWE Supply &amp; </w:t>
      </w:r>
      <w:proofErr w:type="spellStart"/>
      <w:r w:rsidRPr="003A5AA8">
        <w:rPr>
          <w:rFonts w:asciiTheme="minorHAnsi" w:hAnsiTheme="minorHAnsi"/>
          <w:i w:val="0"/>
          <w:color w:val="auto"/>
        </w:rPr>
        <w:t>Trading</w:t>
      </w:r>
      <w:proofErr w:type="spellEnd"/>
      <w:r w:rsidRPr="003A5AA8">
        <w:rPr>
          <w:rFonts w:asciiTheme="minorHAnsi" w:hAnsiTheme="minorHAnsi"/>
          <w:i w:val="0"/>
          <w:color w:val="auto"/>
        </w:rPr>
        <w:t xml:space="preserve">, který je v současnosti největším skladovatelem v ČR, je zároveň i největším dovozcem plynu do ČR. Pokud by tedy byla zvolena varianta relokace výnosů na vstupní tarif do ČR, spočíval by dopad na RST především ve změně struktury nákladů. </w:t>
      </w:r>
    </w:p>
    <w:p w14:paraId="1C2ABF15" w14:textId="77777777" w:rsidR="005A4231" w:rsidRPr="003A5AA8" w:rsidRDefault="005A4231" w:rsidP="005A4231">
      <w:pPr>
        <w:pStyle w:val="odpoved"/>
        <w:spacing w:after="0"/>
        <w:ind w:left="0"/>
        <w:contextualSpacing w:val="0"/>
        <w:rPr>
          <w:rFonts w:asciiTheme="minorHAnsi" w:hAnsiTheme="minorHAnsi"/>
          <w:i w:val="0"/>
          <w:color w:val="auto"/>
        </w:rPr>
      </w:pPr>
      <w:r w:rsidRPr="003A5AA8">
        <w:rPr>
          <w:rFonts w:asciiTheme="minorHAnsi" w:hAnsiTheme="minorHAnsi"/>
          <w:i w:val="0"/>
          <w:color w:val="auto"/>
        </w:rPr>
        <w:t>Smyslem nastavení nového modelu je do budoucna zajištění vyššího využití zásobníků, vyšší tržní likvidity, vyšší bezpečnosti dodávek a nižší pravděpodobnosti uzavření podzemních zásobníků.</w:t>
      </w:r>
    </w:p>
    <w:p w14:paraId="177332DF" w14:textId="77777777" w:rsidR="005A4231" w:rsidRPr="003A5AA8" w:rsidRDefault="005A4231" w:rsidP="005A4231">
      <w:pPr>
        <w:pStyle w:val="odpoved"/>
        <w:spacing w:after="0"/>
        <w:ind w:left="0"/>
        <w:contextualSpacing w:val="0"/>
        <w:rPr>
          <w:rFonts w:asciiTheme="minorHAnsi" w:hAnsiTheme="minorHAnsi"/>
          <w:i w:val="0"/>
          <w:color w:val="auto"/>
        </w:rPr>
      </w:pPr>
    </w:p>
    <w:p w14:paraId="2567568F" w14:textId="59B1628F" w:rsidR="00F04D83" w:rsidRPr="003A5AA8" w:rsidRDefault="00E16F11" w:rsidP="004E6219">
      <w:pPr>
        <w:pStyle w:val="Nadpis1"/>
      </w:pPr>
      <w:bookmarkStart w:id="22" w:name="_Toc477323770"/>
      <w:r w:rsidRPr="003A5AA8">
        <w:t xml:space="preserve">Zhodnocení </w:t>
      </w:r>
      <w:r w:rsidR="00F04D83" w:rsidRPr="003A5AA8">
        <w:t>souladu návrhu s</w:t>
      </w:r>
      <w:r w:rsidR="0092539A">
        <w:t xml:space="preserve"> 3. energetickým balíčkem, především s </w:t>
      </w:r>
      <w:r w:rsidR="00F04D83" w:rsidRPr="003A5AA8">
        <w:t>ustanovením člán</w:t>
      </w:r>
      <w:r w:rsidRPr="003A5AA8">
        <w:t>ku 13 nařízení (ES) č. 715/2009</w:t>
      </w:r>
      <w:bookmarkEnd w:id="22"/>
    </w:p>
    <w:p w14:paraId="57C9F400" w14:textId="77777777" w:rsidR="009076D7" w:rsidRPr="003A5AA8" w:rsidRDefault="009076D7" w:rsidP="005A4231">
      <w:pPr>
        <w:jc w:val="both"/>
        <w:rPr>
          <w:rFonts w:asciiTheme="minorHAnsi" w:hAnsiTheme="minorHAnsi"/>
        </w:rPr>
      </w:pPr>
      <w:r w:rsidRPr="003A5AA8">
        <w:rPr>
          <w:rFonts w:asciiTheme="minorHAnsi" w:hAnsiTheme="minorHAnsi"/>
        </w:rPr>
        <w:t xml:space="preserve">Principiálně nedochází u pokročilé virtualizace k žádným změnám oproti stávajícímu modelu trhu s plynem, který pro potřeby obchodního světa zjednodušuje procesy a toky plynu ze světa fyzického. Je tedy v mnoha ohledech virtuální. V současnosti platí ukladatel přepravci za přepravu ze zásobníku plynu na virtuální obchodní bod bez ohledu na to, zda je plyn těžen do přepravní nebo distribuční soustavy. Přepravce je tedy automaticky honorován bez ohledu na jeho reálné náklady, které jsou v případě těžby ze zásobníku do distribuční soustavy nulové. Obdobně v současnosti platí obchodníci za přepravu (ať už do / ze zásobníku anebo do / ze zahraničí) cenu stanovenou cenovým rozhodnutím nezávisle na tom, zda jsou s přepravou plynu spojené nějaké reálné náklady či nikoliv – například pokud se jedná o </w:t>
      </w:r>
      <w:proofErr w:type="spellStart"/>
      <w:r w:rsidRPr="003A5AA8">
        <w:rPr>
          <w:rFonts w:asciiTheme="minorHAnsi" w:hAnsiTheme="minorHAnsi"/>
        </w:rPr>
        <w:t>protitok</w:t>
      </w:r>
      <w:proofErr w:type="spellEnd"/>
      <w:r w:rsidRPr="003A5AA8">
        <w:rPr>
          <w:rFonts w:asciiTheme="minorHAnsi" w:hAnsiTheme="minorHAnsi"/>
        </w:rPr>
        <w:t xml:space="preserve">, který je „odečten“ od reálného toku plynu a je přepraveno jen finální množství. Současný obchodní model trhu s plynem v ČR i v EU je založen na zjednodušení technických toků a jeho cílem je usnadnění obchodování s plynem. Lze se tedy domnívat, že bez existence tohoto zjednodušení by se obchodování stalo natolik nepředvídatelným z hlediska nákladů, složitým, administrativně a časově náročným, že by to tvořilo překážku pro vstup na trh. </w:t>
      </w:r>
    </w:p>
    <w:p w14:paraId="79A27E83" w14:textId="77777777" w:rsidR="009076D7" w:rsidRPr="003A5AA8" w:rsidRDefault="009076D7" w:rsidP="005A4231">
      <w:pPr>
        <w:jc w:val="both"/>
        <w:rPr>
          <w:rFonts w:asciiTheme="minorHAnsi" w:hAnsiTheme="minorHAnsi"/>
        </w:rPr>
      </w:pPr>
    </w:p>
    <w:p w14:paraId="69DC519C" w14:textId="77777777" w:rsidR="009076D7" w:rsidRPr="003A5AA8" w:rsidRDefault="009076D7" w:rsidP="005A4231">
      <w:pPr>
        <w:jc w:val="both"/>
        <w:rPr>
          <w:rFonts w:asciiTheme="minorHAnsi" w:hAnsiTheme="minorHAnsi"/>
        </w:rPr>
      </w:pPr>
      <w:r w:rsidRPr="003A5AA8">
        <w:rPr>
          <w:rFonts w:asciiTheme="minorHAnsi" w:hAnsiTheme="minorHAnsi"/>
        </w:rPr>
        <w:t xml:space="preserve">3. energetický balíček upravuje v Nařízení 715/2009 o podmínkách přístupu k plynárenské přepravní soustavě v článku 13 sazby za přístup k sítím. Vychází přitom z těchto principů: </w:t>
      </w:r>
    </w:p>
    <w:p w14:paraId="4433CEC6" w14:textId="77777777" w:rsidR="009076D7" w:rsidRPr="003A5AA8" w:rsidRDefault="009076D7" w:rsidP="005A4231">
      <w:pPr>
        <w:jc w:val="both"/>
        <w:rPr>
          <w:rFonts w:asciiTheme="minorHAnsi" w:hAnsiTheme="minorHAnsi"/>
        </w:rPr>
      </w:pPr>
    </w:p>
    <w:p w14:paraId="12905A7F" w14:textId="77777777" w:rsidR="009076D7" w:rsidRPr="003A5AA8" w:rsidRDefault="009076D7" w:rsidP="005A4231">
      <w:pPr>
        <w:jc w:val="both"/>
        <w:rPr>
          <w:rFonts w:asciiTheme="minorHAnsi" w:hAnsiTheme="minorHAnsi"/>
        </w:rPr>
      </w:pPr>
      <w:r w:rsidRPr="003A5AA8">
        <w:rPr>
          <w:rFonts w:asciiTheme="minorHAnsi" w:hAnsiTheme="minorHAnsi"/>
        </w:rPr>
        <w:t>1) sazby mají vycházet ze skutečných nákladů, být transparentní a nediskriminační</w:t>
      </w:r>
    </w:p>
    <w:p w14:paraId="46EC8870" w14:textId="77777777" w:rsidR="009076D7" w:rsidRPr="003A5AA8" w:rsidRDefault="009076D7" w:rsidP="005A4231">
      <w:pPr>
        <w:jc w:val="both"/>
        <w:rPr>
          <w:rFonts w:asciiTheme="minorHAnsi" w:hAnsiTheme="minorHAnsi"/>
        </w:rPr>
      </w:pPr>
      <w:r w:rsidRPr="003A5AA8">
        <w:rPr>
          <w:rFonts w:asciiTheme="minorHAnsi" w:hAnsiTheme="minorHAnsi"/>
        </w:rPr>
        <w:t>2) sazby nebo metodiky pro jejich stanovení mají usnadňovat účinné obchodování se zemním plynem a hospodářskou soutěž</w:t>
      </w:r>
    </w:p>
    <w:p w14:paraId="7B3B0368" w14:textId="77777777" w:rsidR="009076D7" w:rsidRPr="003A5AA8" w:rsidRDefault="009076D7" w:rsidP="005A4231">
      <w:pPr>
        <w:jc w:val="both"/>
        <w:rPr>
          <w:rFonts w:asciiTheme="minorHAnsi" w:hAnsiTheme="minorHAnsi"/>
        </w:rPr>
      </w:pPr>
      <w:r w:rsidRPr="003A5AA8">
        <w:rPr>
          <w:rFonts w:asciiTheme="minorHAnsi" w:hAnsiTheme="minorHAnsi"/>
        </w:rPr>
        <w:t>3) sazby mají zabraňovat křížovým dotacím mezi uživateli sítě</w:t>
      </w:r>
    </w:p>
    <w:p w14:paraId="21FE9B01" w14:textId="77777777" w:rsidR="009076D7" w:rsidRPr="003A5AA8" w:rsidRDefault="009076D7" w:rsidP="005A4231">
      <w:pPr>
        <w:jc w:val="both"/>
        <w:rPr>
          <w:rFonts w:asciiTheme="minorHAnsi" w:hAnsiTheme="minorHAnsi"/>
        </w:rPr>
      </w:pPr>
      <w:r w:rsidRPr="003A5AA8">
        <w:rPr>
          <w:rFonts w:asciiTheme="minorHAnsi" w:hAnsiTheme="minorHAnsi"/>
        </w:rPr>
        <w:t>4) sazby se stanovují odděleně pro jednotlivé body vstupu do přepravní soustavy nebo výstupu</w:t>
      </w:r>
    </w:p>
    <w:p w14:paraId="3F8D3055" w14:textId="77777777" w:rsidR="009076D7" w:rsidRPr="003A5AA8" w:rsidRDefault="009076D7" w:rsidP="005A4231">
      <w:pPr>
        <w:jc w:val="both"/>
        <w:rPr>
          <w:rFonts w:asciiTheme="minorHAnsi" w:hAnsiTheme="minorHAnsi"/>
        </w:rPr>
      </w:pPr>
      <w:r w:rsidRPr="003A5AA8">
        <w:rPr>
          <w:rFonts w:asciiTheme="minorHAnsi" w:hAnsiTheme="minorHAnsi"/>
        </w:rPr>
        <w:t xml:space="preserve">5) síťové poplatky nejsou vypočítávány na základě smluvních tras </w:t>
      </w:r>
    </w:p>
    <w:p w14:paraId="268404D9" w14:textId="77777777" w:rsidR="009076D7" w:rsidRPr="003A5AA8" w:rsidRDefault="009076D7" w:rsidP="005A4231">
      <w:pPr>
        <w:jc w:val="both"/>
        <w:rPr>
          <w:rFonts w:asciiTheme="minorHAnsi" w:hAnsiTheme="minorHAnsi"/>
        </w:rPr>
      </w:pPr>
      <w:r w:rsidRPr="003A5AA8">
        <w:rPr>
          <w:rFonts w:asciiTheme="minorHAnsi" w:hAnsiTheme="minorHAnsi"/>
        </w:rPr>
        <w:t>6) sazby za přístup k síti nesmí omezit likviditu trhu ani narušit přeshraniční obchod</w:t>
      </w:r>
    </w:p>
    <w:p w14:paraId="31BAB5C0" w14:textId="77777777" w:rsidR="009076D7" w:rsidRPr="003A5AA8" w:rsidRDefault="009076D7" w:rsidP="005A4231">
      <w:pPr>
        <w:jc w:val="both"/>
        <w:rPr>
          <w:rFonts w:asciiTheme="minorHAnsi" w:hAnsiTheme="minorHAnsi"/>
        </w:rPr>
      </w:pPr>
    </w:p>
    <w:p w14:paraId="62DB5413" w14:textId="77777777" w:rsidR="009076D7" w:rsidRPr="003A5AA8" w:rsidRDefault="009076D7" w:rsidP="005A4231">
      <w:pPr>
        <w:jc w:val="both"/>
        <w:rPr>
          <w:rFonts w:asciiTheme="minorHAnsi" w:hAnsiTheme="minorHAnsi"/>
        </w:rPr>
      </w:pPr>
      <w:r w:rsidRPr="003A5AA8">
        <w:rPr>
          <w:rFonts w:asciiTheme="minorHAnsi" w:hAnsiTheme="minorHAnsi"/>
        </w:rPr>
        <w:t xml:space="preserve">Tyto principy kodifikují odpoutání fyzických toků od obchodování a tím pádem i ztrátu přímé provázanosti mezi skutečnými náklady a sazbami za přepravu. Zároveň staví hospodářskou soutěž a fungující likvidní trh nad přesné účtování nákladů spojené s využitím konkrétního plynovodu v konkrétním čase. Z toho vyplývá základní charakteristika zjednodušeného obchodního modelu trhu </w:t>
      </w:r>
      <w:r w:rsidRPr="003A5AA8">
        <w:rPr>
          <w:rFonts w:asciiTheme="minorHAnsi" w:hAnsiTheme="minorHAnsi"/>
        </w:rPr>
        <w:lastRenderedPageBreak/>
        <w:t xml:space="preserve">s plynem, kterou je implicitní fakt, že každý účastník trhu je v praxi při některých úkonech zvýhodněn oproti skutečným nákladům na danou službu přepravy a jindy je tomu zase naopak. Všichni uživatelé soustavy platí za všechny služby stejný poplatek, resp. výslednou cenu ve veřejné aukci a mají stejný přístup k jejímu využívání včetně zásobníků. Návrh pokročilé virtualizace vychází ze stejných principů, a nejedná se proto o nepřiměřené křížové financování. </w:t>
      </w:r>
    </w:p>
    <w:p w14:paraId="13354821" w14:textId="77777777" w:rsidR="009076D7" w:rsidRPr="003A5AA8" w:rsidRDefault="009076D7" w:rsidP="005A4231">
      <w:pPr>
        <w:jc w:val="both"/>
        <w:rPr>
          <w:rFonts w:asciiTheme="minorHAnsi" w:hAnsiTheme="minorHAnsi"/>
        </w:rPr>
      </w:pPr>
    </w:p>
    <w:p w14:paraId="7E1CCAB0" w14:textId="77777777" w:rsidR="009076D7" w:rsidRPr="003A5AA8" w:rsidRDefault="009076D7" w:rsidP="005A4231">
      <w:pPr>
        <w:jc w:val="both"/>
        <w:rPr>
          <w:rFonts w:asciiTheme="minorHAnsi" w:hAnsiTheme="minorHAnsi"/>
        </w:rPr>
      </w:pPr>
      <w:r w:rsidRPr="003A5AA8">
        <w:rPr>
          <w:rFonts w:asciiTheme="minorHAnsi" w:hAnsiTheme="minorHAnsi"/>
        </w:rPr>
        <w:t>Stanovení národních sazeb za využití sítí může být motivováno vytvořením fungujícího likvidního trhu a za tímto účelem mohou být sazby příslušně upraveny. Příkladem může být nastavení sazeb za přepravu do a z ČR, přičemž vstup do ČR je násobně levnější než výstup, a systém tak cíleně motivuje k dovozu plynu do ČR za účelem podpory hospodářské soutěže a likvidního trhu. Podobný princip by byl aplikován i v případě návrhu pokročilé virtualizace za účelem podpory likvidity a krátkodobého trhu v ČR</w:t>
      </w:r>
    </w:p>
    <w:p w14:paraId="4CBE6C6D" w14:textId="77777777" w:rsidR="009076D7" w:rsidRPr="003A5AA8" w:rsidRDefault="009076D7" w:rsidP="005A4231">
      <w:pPr>
        <w:jc w:val="both"/>
        <w:rPr>
          <w:rFonts w:asciiTheme="minorHAnsi" w:hAnsiTheme="minorHAnsi"/>
        </w:rPr>
      </w:pPr>
    </w:p>
    <w:p w14:paraId="40527F4B" w14:textId="77777777" w:rsidR="009076D7" w:rsidRPr="003A5AA8" w:rsidRDefault="009076D7" w:rsidP="005A4231">
      <w:pPr>
        <w:jc w:val="both"/>
        <w:rPr>
          <w:rFonts w:asciiTheme="minorHAnsi" w:hAnsiTheme="minorHAnsi"/>
        </w:rPr>
      </w:pPr>
      <w:r w:rsidRPr="003A5AA8">
        <w:rPr>
          <w:rFonts w:asciiTheme="minorHAnsi" w:hAnsiTheme="minorHAnsi"/>
        </w:rPr>
        <w:t xml:space="preserve">V tomto ohledu je třeba také zhodnotit přenos nákladů na přesun plynu mezi zásobníky plynu a přepravní soustavou od ukladatelů na provozovatele distribučních soustav. Pro odpověď na tuto otázku je třeba komplexně posoudit fungování celé české plynárenské soustavy. Česká plynárenská infrastruktura byla postavena jako celek, tedy včetně zásobníků plynu. Hlavními benefity soustavy, které zásobníky přináší, jsou: </w:t>
      </w:r>
    </w:p>
    <w:p w14:paraId="37EA3717" w14:textId="77777777" w:rsidR="009076D7" w:rsidRPr="003A5AA8" w:rsidRDefault="009076D7" w:rsidP="005A4231">
      <w:pPr>
        <w:jc w:val="both"/>
        <w:rPr>
          <w:rFonts w:asciiTheme="minorHAnsi" w:hAnsiTheme="minorHAnsi"/>
        </w:rPr>
      </w:pPr>
    </w:p>
    <w:p w14:paraId="2F5034D7" w14:textId="77777777" w:rsidR="009076D7" w:rsidRPr="003A5AA8" w:rsidRDefault="009076D7" w:rsidP="005A4231">
      <w:pPr>
        <w:pStyle w:val="Odstavecseseznamem"/>
        <w:numPr>
          <w:ilvl w:val="0"/>
          <w:numId w:val="19"/>
        </w:numPr>
        <w:spacing w:after="0"/>
        <w:ind w:left="0"/>
        <w:rPr>
          <w:rFonts w:asciiTheme="minorHAnsi" w:hAnsiTheme="minorHAnsi"/>
          <w:i w:val="0"/>
        </w:rPr>
      </w:pPr>
      <w:r w:rsidRPr="003A5AA8">
        <w:rPr>
          <w:rFonts w:asciiTheme="minorHAnsi" w:hAnsiTheme="minorHAnsi"/>
          <w:i w:val="0"/>
        </w:rPr>
        <w:t xml:space="preserve">sezónní flexibilita, tedy uskladnění plynu v místě potřeby pro období vysoké spotřeby, typicky v zimě, které není možné najednou přepravit přepravní infrastrukturou </w:t>
      </w:r>
    </w:p>
    <w:p w14:paraId="3307DA86" w14:textId="77777777" w:rsidR="009076D7" w:rsidRPr="003A5AA8" w:rsidRDefault="009076D7" w:rsidP="005A4231">
      <w:pPr>
        <w:pStyle w:val="Odstavecseseznamem"/>
        <w:numPr>
          <w:ilvl w:val="0"/>
          <w:numId w:val="19"/>
        </w:numPr>
        <w:spacing w:after="0"/>
        <w:ind w:left="0"/>
        <w:rPr>
          <w:rFonts w:asciiTheme="minorHAnsi" w:hAnsiTheme="minorHAnsi"/>
          <w:i w:val="0"/>
        </w:rPr>
      </w:pPr>
      <w:r w:rsidRPr="003A5AA8">
        <w:rPr>
          <w:rFonts w:asciiTheme="minorHAnsi" w:hAnsiTheme="minorHAnsi"/>
          <w:i w:val="0"/>
        </w:rPr>
        <w:t>krátkodobá flexibilita, tedy uskladnění plynu v místě spotřeby pro pokrytí nenadálých poptávkových špiček</w:t>
      </w:r>
    </w:p>
    <w:p w14:paraId="4F5705EB" w14:textId="77777777" w:rsidR="009076D7" w:rsidRPr="003A5AA8" w:rsidRDefault="009076D7" w:rsidP="005A4231">
      <w:pPr>
        <w:pStyle w:val="Odstavecseseznamem"/>
        <w:numPr>
          <w:ilvl w:val="0"/>
          <w:numId w:val="19"/>
        </w:numPr>
        <w:spacing w:after="0"/>
        <w:ind w:left="0"/>
        <w:rPr>
          <w:rFonts w:asciiTheme="minorHAnsi" w:hAnsiTheme="minorHAnsi"/>
          <w:i w:val="0"/>
        </w:rPr>
      </w:pPr>
      <w:r w:rsidRPr="003A5AA8">
        <w:rPr>
          <w:rFonts w:asciiTheme="minorHAnsi" w:hAnsiTheme="minorHAnsi"/>
          <w:i w:val="0"/>
        </w:rPr>
        <w:t>efektivita přepravní sítě – zásobníky plynu umožňují efektivní dimenzování přepravní infrastruktury a tím pádem nižší investiční a operativní náklady na straně provozovatele přepravní soustavy (může být postavena menší přepravní trubka, na jejímž konci je zásobník, který je schopen dodat plyn do distribuční soustavy ve chvíli vysoké spotřeby)</w:t>
      </w:r>
    </w:p>
    <w:p w14:paraId="588AEDE6" w14:textId="77777777" w:rsidR="009076D7" w:rsidRPr="003A5AA8" w:rsidRDefault="009076D7" w:rsidP="005A4231">
      <w:pPr>
        <w:jc w:val="both"/>
        <w:rPr>
          <w:rFonts w:asciiTheme="minorHAnsi" w:hAnsiTheme="minorHAnsi"/>
        </w:rPr>
      </w:pPr>
    </w:p>
    <w:p w14:paraId="64D56F1D" w14:textId="77777777" w:rsidR="009076D7" w:rsidRPr="003A5AA8" w:rsidRDefault="009076D7" w:rsidP="005A4231">
      <w:pPr>
        <w:jc w:val="both"/>
        <w:rPr>
          <w:rFonts w:asciiTheme="minorHAnsi" w:hAnsiTheme="minorHAnsi"/>
        </w:rPr>
      </w:pPr>
      <w:r w:rsidRPr="003A5AA8">
        <w:rPr>
          <w:rFonts w:asciiTheme="minorHAnsi" w:hAnsiTheme="minorHAnsi"/>
        </w:rPr>
        <w:t xml:space="preserve">Všechny tyto výhody zásobníky plynu dodávají soustavě, aniž by za to byly ohodnoceny. Pokud by tyto přínosy ohodnoceny byly, pak by se z pohledu regulace jednalo o náklad na fungování vnitrostátní přepravy, který je v současnosti kryt mimo jiné skrze domácí bod. Přenos části regulovaných výnosů provozovatele přepravní soustavy na domácí bod je proto legitimní a zároveň plně v souladu s principy české i evropské regulace plynárenství. Nejedná se tedy o nepřiměřené křížové financování ve smyslu 3. energetického balíčku. Náklady na pohon kompresních stanic navíc představují malou částku, která bude v každoroční úpravě distribučních tarifů výrazně zastíněna korekčním faktorem upravujícím regulované výnosy distribučních společností. </w:t>
      </w:r>
    </w:p>
    <w:p w14:paraId="3F7BE717" w14:textId="77777777" w:rsidR="009076D7" w:rsidRPr="003A5AA8" w:rsidRDefault="009076D7" w:rsidP="00F87ABC">
      <w:pPr>
        <w:pStyle w:val="odpoved"/>
        <w:spacing w:after="0"/>
        <w:contextualSpacing w:val="0"/>
        <w:rPr>
          <w:rFonts w:asciiTheme="minorHAnsi" w:hAnsiTheme="minorHAnsi"/>
          <w:i w:val="0"/>
          <w:color w:val="auto"/>
        </w:rPr>
      </w:pPr>
    </w:p>
    <w:p w14:paraId="63CB643E" w14:textId="0CD190F1" w:rsidR="00E16F11" w:rsidRPr="003A5AA8" w:rsidRDefault="00E16F11" w:rsidP="004E6219">
      <w:pPr>
        <w:pStyle w:val="Nadpis1"/>
      </w:pPr>
      <w:bookmarkStart w:id="23" w:name="_Toc477323771"/>
      <w:r w:rsidRPr="003A5AA8">
        <w:t>Zhodnocení souladu návrhu se stávající legislativou a NC TAR</w:t>
      </w:r>
      <w:bookmarkEnd w:id="23"/>
    </w:p>
    <w:p w14:paraId="4686D39F" w14:textId="77777777" w:rsidR="009076D7" w:rsidRPr="003A5AA8" w:rsidRDefault="009076D7" w:rsidP="005A4231">
      <w:pPr>
        <w:pStyle w:val="Odstavecseseznamem"/>
        <w:ind w:left="0"/>
        <w:rPr>
          <w:rFonts w:asciiTheme="minorHAnsi" w:hAnsiTheme="minorHAnsi"/>
          <w:i w:val="0"/>
        </w:rPr>
      </w:pPr>
      <w:r w:rsidRPr="003A5AA8">
        <w:rPr>
          <w:rFonts w:asciiTheme="minorHAnsi" w:hAnsiTheme="minorHAnsi"/>
          <w:i w:val="0"/>
        </w:rPr>
        <w:t xml:space="preserve">Schválený síťový kodex pro přepravní tarify (NC TAR) v souvislosti s přepravou do / ze  zásobníku plynu specifikuje, že náklady na přepravu mohou být maximálně ve výši 50% hraničního přepravního tarifu. Legislativa tedy explicitně umožňuje neúčtovat náklady na přesun plynu do a ze zásobníku plynu. Související schválený síťový kodex pro alokaci přepravních kapacit (NC CAM) nezmiňuje přepravní kapacitu k zásobníkům plynu, z čehož lze vyvodit, že virtualizace těchto přepravních kapacit je v souladu s NC TAR i NC CAM. </w:t>
      </w:r>
    </w:p>
    <w:p w14:paraId="10E66FC0" w14:textId="71B57872" w:rsidR="00F04D83" w:rsidRPr="003A5AA8" w:rsidRDefault="00E16F11" w:rsidP="004E6219">
      <w:pPr>
        <w:pStyle w:val="Nadpis1"/>
      </w:pPr>
      <w:bookmarkStart w:id="24" w:name="_Toc477323772"/>
      <w:r w:rsidRPr="003A5AA8">
        <w:lastRenderedPageBreak/>
        <w:t>P</w:t>
      </w:r>
      <w:r w:rsidR="00F04D83" w:rsidRPr="003A5AA8">
        <w:t>osouzení návrhu v kontextu požadavků vyplývajících z</w:t>
      </w:r>
      <w:r w:rsidR="00964FC5" w:rsidRPr="003A5AA8">
        <w:t> </w:t>
      </w:r>
      <w:r w:rsidR="00F04D83" w:rsidRPr="003A5AA8">
        <w:t>REMIT</w:t>
      </w:r>
      <w:bookmarkEnd w:id="24"/>
    </w:p>
    <w:p w14:paraId="7359C8B4" w14:textId="77777777" w:rsidR="00964FC5" w:rsidRPr="003A5AA8" w:rsidRDefault="00964FC5" w:rsidP="005A4231">
      <w:pPr>
        <w:pStyle w:val="odpoved"/>
        <w:spacing w:after="0"/>
        <w:ind w:left="0"/>
        <w:contextualSpacing w:val="0"/>
        <w:rPr>
          <w:rFonts w:asciiTheme="minorHAnsi" w:hAnsiTheme="minorHAnsi"/>
          <w:i w:val="0"/>
          <w:color w:val="auto"/>
        </w:rPr>
      </w:pPr>
      <w:r w:rsidRPr="003A5AA8">
        <w:rPr>
          <w:rFonts w:asciiTheme="minorHAnsi" w:hAnsiTheme="minorHAnsi"/>
          <w:i w:val="0"/>
          <w:color w:val="auto"/>
        </w:rPr>
        <w:t xml:space="preserve">V případě, že zanikne rezervace přepravní kapacity do/z virtuálního zásobníku plynu, nebude nutné nadále </w:t>
      </w:r>
      <w:r w:rsidR="0079123E" w:rsidRPr="003A5AA8">
        <w:rPr>
          <w:rFonts w:asciiTheme="minorHAnsi" w:hAnsiTheme="minorHAnsi"/>
          <w:i w:val="0"/>
          <w:color w:val="auto"/>
        </w:rPr>
        <w:t xml:space="preserve">vykazovat </w:t>
      </w:r>
      <w:r w:rsidRPr="003A5AA8">
        <w:rPr>
          <w:rFonts w:asciiTheme="minorHAnsi" w:hAnsiTheme="minorHAnsi"/>
          <w:i w:val="0"/>
          <w:color w:val="auto"/>
        </w:rPr>
        <w:t>tyto</w:t>
      </w:r>
      <w:r w:rsidR="0079123E" w:rsidRPr="003A5AA8">
        <w:rPr>
          <w:rFonts w:asciiTheme="minorHAnsi" w:hAnsiTheme="minorHAnsi"/>
          <w:i w:val="0"/>
          <w:color w:val="auto"/>
        </w:rPr>
        <w:t xml:space="preserve"> kapacitní</w:t>
      </w:r>
      <w:r w:rsidRPr="003A5AA8">
        <w:rPr>
          <w:rFonts w:asciiTheme="minorHAnsi" w:hAnsiTheme="minorHAnsi"/>
          <w:i w:val="0"/>
          <w:color w:val="auto"/>
        </w:rPr>
        <w:t xml:space="preserve"> transakce</w:t>
      </w:r>
      <w:r w:rsidR="00A04B19" w:rsidRPr="003A5AA8">
        <w:rPr>
          <w:rFonts w:asciiTheme="minorHAnsi" w:hAnsiTheme="minorHAnsi"/>
          <w:i w:val="0"/>
          <w:color w:val="auto"/>
        </w:rPr>
        <w:t>, povinnost vykazovat smlouvy na uskladnění plynu nebude dotčena</w:t>
      </w:r>
      <w:r w:rsidRPr="003A5AA8">
        <w:rPr>
          <w:rFonts w:asciiTheme="minorHAnsi" w:hAnsiTheme="minorHAnsi"/>
          <w:i w:val="0"/>
          <w:color w:val="auto"/>
        </w:rPr>
        <w:t>.</w:t>
      </w:r>
      <w:r w:rsidR="007B46B7" w:rsidRPr="003A5AA8">
        <w:rPr>
          <w:rFonts w:asciiTheme="minorHAnsi" w:hAnsiTheme="minorHAnsi"/>
          <w:i w:val="0"/>
          <w:color w:val="auto"/>
        </w:rPr>
        <w:t xml:space="preserve"> Jiný dopad nepředpokládáme.</w:t>
      </w:r>
    </w:p>
    <w:p w14:paraId="7B2E2B68" w14:textId="602A7472" w:rsidR="001A579A" w:rsidRDefault="001A579A" w:rsidP="004E6219">
      <w:pPr>
        <w:pStyle w:val="Nadpis1"/>
      </w:pPr>
      <w:bookmarkStart w:id="25" w:name="_Toc477323773"/>
      <w:r>
        <w:t>Vyhodnocení úpravy cen za přepravní kapacitu do/z</w:t>
      </w:r>
      <w:r w:rsidR="005A4231">
        <w:t xml:space="preserve"> virtuálního zásobníku platné od </w:t>
      </w:r>
      <w:proofErr w:type="gramStart"/>
      <w:r w:rsidR="005A4231">
        <w:t>1.1.2015</w:t>
      </w:r>
      <w:bookmarkEnd w:id="25"/>
      <w:proofErr w:type="gramEnd"/>
    </w:p>
    <w:p w14:paraId="2F49AF13" w14:textId="54D37071" w:rsidR="00F04D83" w:rsidRPr="005A4231" w:rsidRDefault="00E16F11" w:rsidP="001A579A">
      <w:pPr>
        <w:pStyle w:val="Bezmezer"/>
        <w:rPr>
          <w:i/>
          <w:color w:val="5B9BD5" w:themeColor="accent1"/>
        </w:rPr>
      </w:pPr>
      <w:r w:rsidRPr="005A4231">
        <w:rPr>
          <w:i/>
          <w:color w:val="5B9BD5" w:themeColor="accent1"/>
        </w:rPr>
        <w:t xml:space="preserve">Vyhodnocení </w:t>
      </w:r>
      <w:r w:rsidR="00F04D83" w:rsidRPr="005A4231">
        <w:rPr>
          <w:i/>
          <w:color w:val="5B9BD5" w:themeColor="accent1"/>
        </w:rPr>
        <w:t>snížení pevné ceny za rezervovanou přepravní kapacitu na vstupním bodě virtuálního zásobníku plynu ze 727,12 Kč/MWh/den na 436,27 Kč/MWh/den, kdy zároveň došlo k navýšení pevné ceny za rezervovanou přepravní kapacitu na vstupním hraničním bodě ze 727,12 Kč/MWh/den na 753,46 Kč/MWh/den</w:t>
      </w:r>
      <w:r w:rsidRPr="005A4231">
        <w:rPr>
          <w:i/>
          <w:color w:val="5B9BD5" w:themeColor="accent1"/>
        </w:rPr>
        <w:t xml:space="preserve"> s účinností od roku 2015</w:t>
      </w:r>
      <w:r w:rsidR="00F04D83" w:rsidRPr="005A4231">
        <w:rPr>
          <w:i/>
          <w:color w:val="5B9BD5" w:themeColor="accent1"/>
        </w:rPr>
        <w:t xml:space="preserve">. </w:t>
      </w:r>
      <w:r w:rsidR="003A5AA8" w:rsidRPr="005A4231">
        <w:rPr>
          <w:i/>
          <w:color w:val="5B9BD5" w:themeColor="accent1"/>
        </w:rPr>
        <w:t xml:space="preserve">Zhodnocení </w:t>
      </w:r>
      <w:r w:rsidR="00F04D83" w:rsidRPr="005A4231">
        <w:rPr>
          <w:i/>
          <w:color w:val="5B9BD5" w:themeColor="accent1"/>
        </w:rPr>
        <w:t>dopad</w:t>
      </w:r>
      <w:r w:rsidR="003A5AA8" w:rsidRPr="005A4231">
        <w:rPr>
          <w:i/>
          <w:color w:val="5B9BD5" w:themeColor="accent1"/>
        </w:rPr>
        <w:t>u</w:t>
      </w:r>
      <w:r w:rsidR="00F04D83" w:rsidRPr="005A4231">
        <w:rPr>
          <w:i/>
          <w:color w:val="5B9BD5" w:themeColor="accent1"/>
        </w:rPr>
        <w:t xml:space="preserve"> tohoto opatření na trh s plynem v ČR, především pak</w:t>
      </w:r>
      <w:r w:rsidR="003A5AA8" w:rsidRPr="005A4231">
        <w:rPr>
          <w:i/>
          <w:color w:val="5B9BD5" w:themeColor="accent1"/>
        </w:rPr>
        <w:t xml:space="preserve"> na trh se skladovací kapacitou</w:t>
      </w:r>
    </w:p>
    <w:p w14:paraId="240C8538" w14:textId="77777777" w:rsidR="005A4231" w:rsidRPr="001A579A" w:rsidRDefault="005A4231" w:rsidP="001A579A">
      <w:pPr>
        <w:pStyle w:val="Bezmezer"/>
        <w:rPr>
          <w:i/>
        </w:rPr>
      </w:pPr>
    </w:p>
    <w:p w14:paraId="38CE3FBF" w14:textId="3AD49279" w:rsidR="00360625" w:rsidRPr="003A5AA8" w:rsidRDefault="00360625" w:rsidP="004E6219">
      <w:pPr>
        <w:pStyle w:val="odpoved"/>
        <w:spacing w:after="0"/>
        <w:ind w:left="0"/>
        <w:contextualSpacing w:val="0"/>
        <w:rPr>
          <w:rFonts w:asciiTheme="minorHAnsi" w:hAnsiTheme="minorHAnsi"/>
          <w:i w:val="0"/>
          <w:color w:val="auto"/>
        </w:rPr>
      </w:pPr>
      <w:r w:rsidRPr="003A5AA8">
        <w:rPr>
          <w:rFonts w:asciiTheme="minorHAnsi" w:hAnsiTheme="minorHAnsi"/>
          <w:i w:val="0"/>
          <w:color w:val="auto"/>
        </w:rPr>
        <w:t xml:space="preserve">Snížení přepravního tarifu na vstupním bodě virtuálního zásobníku </w:t>
      </w:r>
      <w:r w:rsidR="00266D55" w:rsidRPr="003A5AA8">
        <w:rPr>
          <w:rFonts w:asciiTheme="minorHAnsi" w:hAnsiTheme="minorHAnsi"/>
          <w:i w:val="0"/>
          <w:color w:val="auto"/>
        </w:rPr>
        <w:t>snížilo náklady rezervaci zásobníkové kapacity. V současnosti se však prohlubuje tendence skladovatelů snižovat množství rezervované kapacity na vstupu ze zásobníku. Zásobníky jsou vyžívány zejména sezónně a výstupní kapacita je rezervována jen ad hoc, nikoliv dlouhodobě na těžební období. Z tohoto pohledu má úprava fixní kapacitní ceny ještě rozmělněný dopad na skladovatele.</w:t>
      </w:r>
      <w:r w:rsidRPr="003A5AA8">
        <w:rPr>
          <w:rFonts w:asciiTheme="minorHAnsi" w:hAnsiTheme="minorHAnsi"/>
          <w:i w:val="0"/>
          <w:color w:val="auto"/>
        </w:rPr>
        <w:t xml:space="preserve"> </w:t>
      </w:r>
      <w:r w:rsidR="00C82C08" w:rsidRPr="003A5AA8">
        <w:rPr>
          <w:rFonts w:asciiTheme="minorHAnsi" w:hAnsiTheme="minorHAnsi"/>
          <w:i w:val="0"/>
          <w:color w:val="auto"/>
        </w:rPr>
        <w:t xml:space="preserve"> </w:t>
      </w:r>
      <w:r w:rsidR="00F7062B" w:rsidRPr="003A5AA8">
        <w:rPr>
          <w:rFonts w:asciiTheme="minorHAnsi" w:hAnsiTheme="minorHAnsi"/>
          <w:i w:val="0"/>
          <w:color w:val="auto"/>
        </w:rPr>
        <w:t>Ceny za přepravu do a ze zásobníku byly navíc zlevněny v době, kdy na trhu panovala nervozita ohledně dodávek z</w:t>
      </w:r>
      <w:r w:rsidR="00E96B94" w:rsidRPr="003A5AA8">
        <w:rPr>
          <w:rFonts w:asciiTheme="minorHAnsi" w:hAnsiTheme="minorHAnsi"/>
          <w:i w:val="0"/>
          <w:color w:val="auto"/>
        </w:rPr>
        <w:t> </w:t>
      </w:r>
      <w:r w:rsidR="00F7062B" w:rsidRPr="003A5AA8">
        <w:rPr>
          <w:rFonts w:asciiTheme="minorHAnsi" w:hAnsiTheme="minorHAnsi"/>
          <w:i w:val="0"/>
          <w:color w:val="auto"/>
        </w:rPr>
        <w:t>Ruska</w:t>
      </w:r>
      <w:r w:rsidR="00E96B94" w:rsidRPr="003A5AA8">
        <w:rPr>
          <w:rFonts w:asciiTheme="minorHAnsi" w:hAnsiTheme="minorHAnsi"/>
          <w:i w:val="0"/>
          <w:color w:val="auto"/>
        </w:rPr>
        <w:t xml:space="preserve"> </w:t>
      </w:r>
      <w:r w:rsidR="003E13E2" w:rsidRPr="003A5AA8">
        <w:rPr>
          <w:rFonts w:asciiTheme="minorHAnsi" w:hAnsiTheme="minorHAnsi"/>
          <w:i w:val="0"/>
          <w:color w:val="auto"/>
        </w:rPr>
        <w:t>přes Ukrajinu kvůli zpožděným platbám Ukrajiny za plyn pro vlastní spotřebu</w:t>
      </w:r>
      <w:r w:rsidR="00E96B94" w:rsidRPr="003A5AA8">
        <w:rPr>
          <w:rFonts w:asciiTheme="minorHAnsi" w:hAnsiTheme="minorHAnsi"/>
          <w:i w:val="0"/>
          <w:color w:val="auto"/>
        </w:rPr>
        <w:t xml:space="preserve">. </w:t>
      </w:r>
      <w:r w:rsidR="003E13E2" w:rsidRPr="003A5AA8">
        <w:rPr>
          <w:rFonts w:asciiTheme="minorHAnsi" w:hAnsiTheme="minorHAnsi"/>
          <w:i w:val="0"/>
          <w:color w:val="auto"/>
        </w:rPr>
        <w:t xml:space="preserve">To mělo citelný dopad na chování obchodníků. </w:t>
      </w:r>
      <w:r w:rsidR="00C82C08" w:rsidRPr="003A5AA8">
        <w:rPr>
          <w:rFonts w:asciiTheme="minorHAnsi" w:hAnsiTheme="minorHAnsi"/>
          <w:i w:val="0"/>
          <w:color w:val="auto"/>
        </w:rPr>
        <w:t>Obecně lze říci, že snížení ceny za přepravu z podzemního zásobníku plynu nebylo natolik významné na to, aby mělo na trh sledovatelný dopad.</w:t>
      </w:r>
      <w:r w:rsidR="00F7062B" w:rsidRPr="003A5AA8">
        <w:rPr>
          <w:rFonts w:asciiTheme="minorHAnsi" w:hAnsiTheme="minorHAnsi"/>
          <w:i w:val="0"/>
          <w:color w:val="auto"/>
        </w:rPr>
        <w:t xml:space="preserve"> </w:t>
      </w:r>
    </w:p>
    <w:p w14:paraId="5B70660A" w14:textId="093DD42E" w:rsidR="002A1665" w:rsidRPr="003A5AA8" w:rsidRDefault="007B46B7" w:rsidP="004E6219">
      <w:pPr>
        <w:pStyle w:val="odpoved"/>
        <w:spacing w:after="0"/>
        <w:ind w:left="0"/>
        <w:contextualSpacing w:val="0"/>
        <w:rPr>
          <w:rFonts w:asciiTheme="minorHAnsi" w:hAnsiTheme="minorHAnsi"/>
          <w:i w:val="0"/>
          <w:color w:val="auto"/>
        </w:rPr>
      </w:pPr>
      <w:r w:rsidRPr="003A5AA8">
        <w:rPr>
          <w:rFonts w:asciiTheme="minorHAnsi" w:hAnsiTheme="minorHAnsi"/>
          <w:i w:val="0"/>
          <w:color w:val="auto"/>
        </w:rPr>
        <w:t xml:space="preserve">Domníváme se, že změna vstupních pevných cen na hraničních bodech je z pohledu obchodníků i skladovatelů marginální (změna o cca </w:t>
      </w:r>
      <w:r w:rsidR="00266D55" w:rsidRPr="003A5AA8">
        <w:rPr>
          <w:rFonts w:asciiTheme="minorHAnsi" w:hAnsiTheme="minorHAnsi"/>
          <w:i w:val="0"/>
          <w:color w:val="auto"/>
        </w:rPr>
        <w:t>3,6 </w:t>
      </w:r>
      <w:r w:rsidRPr="003A5AA8">
        <w:rPr>
          <w:rFonts w:asciiTheme="minorHAnsi" w:hAnsiTheme="minorHAnsi"/>
          <w:i w:val="0"/>
          <w:color w:val="auto"/>
        </w:rPr>
        <w:t xml:space="preserve">% tarifní roční </w:t>
      </w:r>
      <w:r w:rsidR="00360625" w:rsidRPr="003A5AA8">
        <w:rPr>
          <w:rFonts w:asciiTheme="minorHAnsi" w:hAnsiTheme="minorHAnsi"/>
          <w:i w:val="0"/>
          <w:color w:val="auto"/>
        </w:rPr>
        <w:t xml:space="preserve">ceny) a na cenové podmínky plynárenského trhu v ČR mají větší vliv sezónní vlivy, vlivy tržních cen v zahraničí, obchodní strategie lokálních významných plynárenských hráčů, míra využití rezervovaných ročních/měsíčních </w:t>
      </w:r>
      <w:r w:rsidR="00491241" w:rsidRPr="003A5AA8">
        <w:rPr>
          <w:rFonts w:asciiTheme="minorHAnsi" w:hAnsiTheme="minorHAnsi"/>
          <w:i w:val="0"/>
          <w:color w:val="auto"/>
        </w:rPr>
        <w:t>kapacit apod.</w:t>
      </w:r>
    </w:p>
    <w:p w14:paraId="6AE98ADE" w14:textId="77777777" w:rsidR="00A34C1B" w:rsidRDefault="00A34C1B">
      <w:pPr>
        <w:spacing w:after="160" w:line="259" w:lineRule="auto"/>
        <w:rPr>
          <w:rFonts w:asciiTheme="minorHAnsi" w:hAnsiTheme="minorHAnsi"/>
          <w:i/>
        </w:rPr>
      </w:pPr>
    </w:p>
    <w:p w14:paraId="25E55EAF" w14:textId="77777777" w:rsidR="00CA098E" w:rsidRPr="003A5AA8" w:rsidRDefault="00CA098E" w:rsidP="00CA098E">
      <w:pPr>
        <w:pStyle w:val="Nadpis1"/>
      </w:pPr>
      <w:bookmarkStart w:id="26" w:name="_Toc477323774"/>
      <w:r w:rsidRPr="003A5AA8">
        <w:t>Fungování návrhu v kontextu přeshra</w:t>
      </w:r>
      <w:r>
        <w:t>ničního využití zásobníku plynu</w:t>
      </w:r>
      <w:bookmarkEnd w:id="26"/>
    </w:p>
    <w:p w14:paraId="6B6E1FC9" w14:textId="77777777" w:rsidR="00CA098E" w:rsidRPr="003A5AA8" w:rsidRDefault="00CA098E" w:rsidP="00CA098E">
      <w:pPr>
        <w:pStyle w:val="odpoved"/>
        <w:spacing w:after="0"/>
        <w:ind w:left="0"/>
        <w:contextualSpacing w:val="0"/>
        <w:rPr>
          <w:rFonts w:asciiTheme="minorHAnsi" w:hAnsiTheme="minorHAnsi"/>
          <w:i w:val="0"/>
          <w:color w:val="auto"/>
        </w:rPr>
      </w:pPr>
      <w:r w:rsidRPr="003A5AA8">
        <w:rPr>
          <w:rFonts w:asciiTheme="minorHAnsi" w:hAnsiTheme="minorHAnsi"/>
          <w:i w:val="0"/>
          <w:color w:val="auto"/>
        </w:rPr>
        <w:t xml:space="preserve">Předkládaný návrh pokročilé virtualizace je slučitelný s návrhem zavedení přeshraničního využití zásobníku plynu. Návrh přeshraničního využití zásobníku plynu má svá specifika, která nejsou předmětem tohoto dokumentu a k otázce jeho zavedení je třeba přistupovat samostatně. </w:t>
      </w:r>
    </w:p>
    <w:p w14:paraId="348C119D" w14:textId="77777777" w:rsidR="001A579A" w:rsidRPr="003A5AA8" w:rsidRDefault="001A579A" w:rsidP="001A579A">
      <w:pPr>
        <w:pStyle w:val="Nadpis1"/>
      </w:pPr>
      <w:bookmarkStart w:id="27" w:name="_Toc477323775"/>
      <w:r w:rsidRPr="003A5AA8">
        <w:t>Zajištění otevřeného přístupu k zásobníkům plynu, dostupných kapacit a konkurenceschopných cen za skladování</w:t>
      </w:r>
      <w:bookmarkEnd w:id="27"/>
    </w:p>
    <w:p w14:paraId="7C8C894D" w14:textId="77777777" w:rsidR="001A579A" w:rsidRPr="003A5AA8" w:rsidRDefault="001A579A" w:rsidP="001A579A">
      <w:pPr>
        <w:jc w:val="both"/>
        <w:rPr>
          <w:rFonts w:asciiTheme="minorHAnsi" w:hAnsiTheme="minorHAnsi"/>
        </w:rPr>
      </w:pPr>
      <w:r w:rsidRPr="003A5AA8">
        <w:rPr>
          <w:rFonts w:asciiTheme="minorHAnsi" w:hAnsiTheme="minorHAnsi"/>
        </w:rPr>
        <w:t>Přístup k zásobníkům plynu zůstane nezměněn, dále tedy bude veškerá volná kapacita nabízena ve veřejných aukcích dle pravidel stanovených ERÚ ve vyhlášce o Pravidlech trhu s plynem. Vzhledem k tomu, že kapacita se typicky prodává na období jeden až dva roky, je každý rok uvolněna kapacita o objemu 300-350 mil. m</w:t>
      </w:r>
      <w:r w:rsidRPr="003A5AA8">
        <w:rPr>
          <w:rFonts w:asciiTheme="minorHAnsi" w:hAnsiTheme="minorHAnsi"/>
          <w:vertAlign w:val="superscript"/>
        </w:rPr>
        <w:t>3</w:t>
      </w:r>
      <w:r w:rsidRPr="003A5AA8">
        <w:rPr>
          <w:rFonts w:asciiTheme="minorHAnsi" w:hAnsiTheme="minorHAnsi"/>
        </w:rPr>
        <w:t xml:space="preserve"> plynu k nákupu. Tato primární kapacita je zpravidla k dispozici až do března, tedy i těsně před počátkem skladovacího roku, který začíná v  dubnu. V loňském roce byla volná skladovací kapacita k dispozici až do května, tedy i po začátku skladovacího roku. Veškeré informace o pořádaných aukcích jsou s časovým předstihem zveřejňovány a aukce se může zúčastnit kterýkoli účastník trhu i zahraniční subjekt. Výsledná cena v aukcích dlouhodobě klesá a je konkurenceschopná vůči ceně za skladování např. v Německu. Z tabulky níže je zřejmé, že zájem ukladatelů je zpravidla menší než nabízená kapacita.</w:t>
      </w:r>
    </w:p>
    <w:p w14:paraId="367C43F0" w14:textId="77777777" w:rsidR="001A579A" w:rsidRPr="003A5AA8" w:rsidRDefault="001A579A" w:rsidP="001A579A">
      <w:pPr>
        <w:rPr>
          <w:rFonts w:asciiTheme="minorHAnsi" w:hAnsiTheme="minorHAnsi"/>
        </w:rPr>
      </w:pPr>
      <w:r w:rsidRPr="003A5AA8">
        <w:rPr>
          <w:rFonts w:asciiTheme="minorHAnsi" w:hAnsiTheme="minorHAnsi"/>
          <w:noProof/>
          <w:lang w:eastAsia="cs-CZ"/>
        </w:rPr>
        <w:lastRenderedPageBreak/>
        <w:drawing>
          <wp:anchor distT="0" distB="0" distL="114300" distR="114300" simplePos="0" relativeHeight="251660288" behindDoc="0" locked="0" layoutInCell="1" allowOverlap="1" wp14:anchorId="3E5DB2D0" wp14:editId="2BA1A763">
            <wp:simplePos x="0" y="0"/>
            <wp:positionH relativeFrom="column">
              <wp:posOffset>3810</wp:posOffset>
            </wp:positionH>
            <wp:positionV relativeFrom="paragraph">
              <wp:posOffset>635</wp:posOffset>
            </wp:positionV>
            <wp:extent cx="4295775" cy="2590800"/>
            <wp:effectExtent l="0" t="0" r="9525" b="0"/>
            <wp:wrapSquare wrapText="bothSides"/>
            <wp:docPr id="4" name="Graf 4"/>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14:sizeRelH relativeFrom="margin">
              <wp14:pctWidth>0</wp14:pctWidth>
            </wp14:sizeRelH>
            <wp14:sizeRelV relativeFrom="margin">
              <wp14:pctHeight>0</wp14:pctHeight>
            </wp14:sizeRelV>
          </wp:anchor>
        </w:drawing>
      </w:r>
    </w:p>
    <w:p w14:paraId="5847167E" w14:textId="77777777" w:rsidR="001A579A" w:rsidRPr="003A5AA8" w:rsidRDefault="001A579A" w:rsidP="001A579A">
      <w:pPr>
        <w:rPr>
          <w:rFonts w:asciiTheme="minorHAnsi" w:hAnsiTheme="minorHAnsi"/>
        </w:rPr>
      </w:pPr>
      <w:r w:rsidRPr="003A5AA8">
        <w:rPr>
          <w:rFonts w:asciiTheme="minorHAnsi" w:hAnsiTheme="minorHAnsi"/>
          <w:noProof/>
          <w:lang w:eastAsia="cs-CZ"/>
        </w:rPr>
        <mc:AlternateContent>
          <mc:Choice Requires="wps">
            <w:drawing>
              <wp:anchor distT="0" distB="0" distL="114300" distR="114300" simplePos="0" relativeHeight="251661312" behindDoc="0" locked="0" layoutInCell="1" allowOverlap="1" wp14:anchorId="739F41ED" wp14:editId="2E76CC61">
                <wp:simplePos x="0" y="0"/>
                <wp:positionH relativeFrom="column">
                  <wp:posOffset>3557270</wp:posOffset>
                </wp:positionH>
                <wp:positionV relativeFrom="paragraph">
                  <wp:posOffset>467995</wp:posOffset>
                </wp:positionV>
                <wp:extent cx="9525" cy="1076325"/>
                <wp:effectExtent l="0" t="0" r="28575" b="28575"/>
                <wp:wrapNone/>
                <wp:docPr id="6" name="Přímá spojnice 6"/>
                <wp:cNvGraphicFramePr/>
                <a:graphic xmlns:a="http://schemas.openxmlformats.org/drawingml/2006/main">
                  <a:graphicData uri="http://schemas.microsoft.com/office/word/2010/wordprocessingShape">
                    <wps:wsp>
                      <wps:cNvCnPr/>
                      <wps:spPr>
                        <a:xfrm>
                          <a:off x="0" y="0"/>
                          <a:ext cx="9525" cy="1076325"/>
                        </a:xfrm>
                        <a:prstGeom prst="line">
                          <a:avLst/>
                        </a:prstGeom>
                        <a:ln w="19050">
                          <a:solidFill>
                            <a:srgbClr val="C00000"/>
                          </a:solidFill>
                        </a:ln>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xmlns:w15="http://schemas.microsoft.com/office/word/2012/wordml">
            <w:pict>
              <v:line w14:anchorId="254508FC" id="Přímá spojnice 6" o:spid="_x0000_s1026" style="position:absolute;z-index:25166131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280.1pt,36.85pt" to="280.85pt,121.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" strokecolor="#c00000" strokeweight="1.5pt">
                <v:stroke joinstyle="miter"/>
              </v:line>
            </w:pict>
          </mc:Fallback>
        </mc:AlternateContent>
      </w:r>
      <w:r w:rsidRPr="003A5AA8">
        <w:rPr>
          <w:rFonts w:asciiTheme="minorHAnsi" w:hAnsiTheme="minorHAnsi"/>
          <w:noProof/>
          <w:lang w:eastAsia="cs-CZ"/>
        </w:rPr>
        <mc:AlternateContent>
          <mc:Choice Requires="wps">
            <w:drawing>
              <wp:anchor distT="0" distB="0" distL="114300" distR="114300" simplePos="0" relativeHeight="251659264" behindDoc="0" locked="0" layoutInCell="1" allowOverlap="1" wp14:anchorId="065D9B12" wp14:editId="5012AE0C">
                <wp:simplePos x="0" y="0"/>
                <wp:positionH relativeFrom="column">
                  <wp:posOffset>3728720</wp:posOffset>
                </wp:positionH>
                <wp:positionV relativeFrom="paragraph">
                  <wp:posOffset>48895</wp:posOffset>
                </wp:positionV>
                <wp:extent cx="0" cy="1304925"/>
                <wp:effectExtent l="0" t="0" r="19050" b="9525"/>
                <wp:wrapNone/>
                <wp:docPr id="3" name="Přímá spojnice 3"/>
                <wp:cNvGraphicFramePr/>
                <a:graphic xmlns:a="http://schemas.openxmlformats.org/drawingml/2006/main">
                  <a:graphicData uri="http://schemas.microsoft.com/office/word/2010/wordprocessingShape">
                    <wps:wsp>
                      <wps:cNvCnPr/>
                      <wps:spPr>
                        <a:xfrm flipV="1">
                          <a:off x="0" y="0"/>
                          <a:ext cx="0" cy="1304925"/>
                        </a:xfrm>
                        <a:prstGeom prst="line">
                          <a:avLst/>
                        </a:prstGeom>
                        <a:ln w="19050">
                          <a:solidFill>
                            <a:schemeClr val="accent2"/>
                          </a:solidFill>
                        </a:ln>
                      </wps:spPr>
                      <wps:style>
                        <a:lnRef idx="1">
                          <a:schemeClr val="accent2"/>
                        </a:lnRef>
                        <a:fillRef idx="0">
                          <a:schemeClr val="accent2"/>
                        </a:fillRef>
                        <a:effectRef idx="0">
                          <a:schemeClr val="accent2"/>
                        </a:effectRef>
                        <a:fontRef idx="minor">
                          <a:schemeClr val="tx1"/>
                        </a:fontRef>
                      </wps:style>
                      <wps:bodyPr/>
                    </wps:wsp>
                  </a:graphicData>
                </a:graphic>
              </wp:anchor>
            </w:drawing>
          </mc:Choice>
          <mc:Fallback xmlns:w15="http://schemas.microsoft.com/office/word/2012/wordml">
            <w:pict>
              <v:line w14:anchorId="42E25F7E" id="Přímá spojnice 3" o:spid="_x0000_s1026" style="position:absolute;flip:y;z-index:251659264;visibility:visible;mso-wrap-style:square;mso-wrap-distance-left:9pt;mso-wrap-distance-top:0;mso-wrap-distance-right:9pt;mso-wrap-distance-bottom:0;mso-position-horizontal:absolute;mso-position-horizontal-relative:text;mso-position-vertical:absolute;mso-position-vertical-relative:text" from="293.6pt,3.85pt" to="293.6pt,106.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" strokecolor="#ed7d31 [3205]" strokeweight="1.5pt">
                <v:stroke joinstyle="miter"/>
              </v:line>
            </w:pict>
          </mc:Fallback>
        </mc:AlternateContent>
      </w:r>
      <w:r w:rsidRPr="003A5AA8">
        <w:rPr>
          <w:rFonts w:asciiTheme="minorHAnsi" w:hAnsiTheme="minorHAnsi"/>
        </w:rPr>
        <w:t>Červená čára ukazuje začátek skladovacího roku, na který je kapacita prodávána. Graf ukazuje, že skladovací kapacita pro rok 2016/17 byla k dispozici i po začátku skladovacího roku.</w:t>
      </w:r>
    </w:p>
    <w:p w14:paraId="3A36C47A" w14:textId="77777777" w:rsidR="001A579A" w:rsidRPr="003A5AA8" w:rsidRDefault="001A579A" w:rsidP="001A579A">
      <w:pPr>
        <w:rPr>
          <w:rFonts w:asciiTheme="minorHAnsi" w:hAnsiTheme="minorHAnsi"/>
        </w:rPr>
      </w:pPr>
    </w:p>
    <w:p w14:paraId="621C5AF4" w14:textId="77777777" w:rsidR="001A579A" w:rsidRPr="003A5AA8" w:rsidRDefault="001A579A" w:rsidP="001A579A">
      <w:pPr>
        <w:rPr>
          <w:rFonts w:asciiTheme="minorHAnsi" w:hAnsiTheme="minorHAnsi"/>
        </w:rPr>
      </w:pPr>
    </w:p>
    <w:p w14:paraId="74DA2C49" w14:textId="77777777" w:rsidR="001A579A" w:rsidRDefault="001A579A" w:rsidP="001A579A">
      <w:pPr>
        <w:rPr>
          <w:rFonts w:asciiTheme="minorHAnsi" w:hAnsiTheme="minorHAnsi"/>
        </w:rPr>
      </w:pPr>
    </w:p>
    <w:p w14:paraId="70E1F111" w14:textId="77777777" w:rsidR="001A579A" w:rsidRDefault="001A579A" w:rsidP="001A579A">
      <w:pPr>
        <w:rPr>
          <w:rFonts w:asciiTheme="minorHAnsi" w:hAnsiTheme="minorHAnsi"/>
        </w:rPr>
      </w:pPr>
    </w:p>
    <w:p w14:paraId="26E9FF74" w14:textId="77777777" w:rsidR="001A579A" w:rsidRDefault="001A579A" w:rsidP="001A579A">
      <w:pPr>
        <w:rPr>
          <w:rFonts w:asciiTheme="minorHAnsi" w:hAnsiTheme="minorHAnsi"/>
        </w:rPr>
      </w:pPr>
    </w:p>
    <w:p w14:paraId="79F9DCBB" w14:textId="77777777" w:rsidR="001A579A" w:rsidRDefault="001A579A" w:rsidP="001A579A">
      <w:pPr>
        <w:rPr>
          <w:rFonts w:asciiTheme="minorHAnsi" w:hAnsiTheme="minorHAnsi"/>
        </w:rPr>
      </w:pPr>
    </w:p>
    <w:p w14:paraId="0195D8BD" w14:textId="77777777" w:rsidR="001A579A" w:rsidRDefault="001A579A" w:rsidP="001A579A">
      <w:pPr>
        <w:rPr>
          <w:rFonts w:asciiTheme="minorHAnsi" w:hAnsiTheme="minorHAnsi"/>
        </w:rPr>
      </w:pPr>
    </w:p>
    <w:p w14:paraId="6CA8863A" w14:textId="77777777" w:rsidR="001A579A" w:rsidRDefault="001A579A" w:rsidP="001A579A">
      <w:pPr>
        <w:rPr>
          <w:rFonts w:asciiTheme="minorHAnsi" w:hAnsiTheme="minorHAnsi"/>
          <w:i/>
        </w:rPr>
      </w:pPr>
      <w:r w:rsidRPr="004E6219">
        <w:rPr>
          <w:rFonts w:asciiTheme="minorHAnsi" w:hAnsiTheme="minorHAnsi"/>
          <w:i/>
        </w:rPr>
        <w:t xml:space="preserve">Přehled poptávky v aukcích </w:t>
      </w:r>
      <w:proofErr w:type="spellStart"/>
      <w:r w:rsidRPr="004E6219">
        <w:rPr>
          <w:rFonts w:asciiTheme="minorHAnsi" w:hAnsiTheme="minorHAnsi"/>
          <w:i/>
        </w:rPr>
        <w:t>innogy</w:t>
      </w:r>
      <w:proofErr w:type="spellEnd"/>
      <w:r w:rsidRPr="004E6219">
        <w:rPr>
          <w:rFonts w:asciiTheme="minorHAnsi" w:hAnsiTheme="minorHAnsi"/>
          <w:i/>
        </w:rPr>
        <w:t xml:space="preserve"> </w:t>
      </w:r>
      <w:proofErr w:type="spellStart"/>
      <w:r w:rsidRPr="004E6219">
        <w:rPr>
          <w:rFonts w:asciiTheme="minorHAnsi" w:hAnsiTheme="minorHAnsi"/>
          <w:i/>
        </w:rPr>
        <w:t>Gas</w:t>
      </w:r>
      <w:proofErr w:type="spellEnd"/>
      <w:r w:rsidRPr="004E6219">
        <w:rPr>
          <w:rFonts w:asciiTheme="minorHAnsi" w:hAnsiTheme="minorHAnsi"/>
          <w:i/>
        </w:rPr>
        <w:t xml:space="preserve"> </w:t>
      </w:r>
      <w:proofErr w:type="spellStart"/>
      <w:r w:rsidRPr="004E6219">
        <w:rPr>
          <w:rFonts w:asciiTheme="minorHAnsi" w:hAnsiTheme="minorHAnsi"/>
          <w:i/>
        </w:rPr>
        <w:t>Storage</w:t>
      </w:r>
      <w:proofErr w:type="spellEnd"/>
      <w:r w:rsidRPr="004E6219">
        <w:rPr>
          <w:rFonts w:asciiTheme="minorHAnsi" w:hAnsiTheme="minorHAnsi"/>
          <w:i/>
        </w:rPr>
        <w:t xml:space="preserve">, s.r.o. na roční kapacitu pro skladovací rok 2016/2017 a 2017/2018 (detailní informace jsou k dispozici na webové stránce </w:t>
      </w:r>
      <w:proofErr w:type="spellStart"/>
      <w:r w:rsidRPr="004E6219">
        <w:rPr>
          <w:rFonts w:asciiTheme="minorHAnsi" w:hAnsiTheme="minorHAnsi"/>
          <w:i/>
        </w:rPr>
        <w:t>innogy</w:t>
      </w:r>
      <w:proofErr w:type="spellEnd"/>
      <w:r w:rsidRPr="004E6219">
        <w:rPr>
          <w:rFonts w:asciiTheme="minorHAnsi" w:hAnsiTheme="minorHAnsi"/>
          <w:i/>
        </w:rPr>
        <w:t xml:space="preserve"> </w:t>
      </w:r>
      <w:proofErr w:type="spellStart"/>
      <w:r w:rsidRPr="004E6219">
        <w:rPr>
          <w:rFonts w:asciiTheme="minorHAnsi" w:hAnsiTheme="minorHAnsi"/>
          <w:i/>
        </w:rPr>
        <w:t>Gas</w:t>
      </w:r>
      <w:proofErr w:type="spellEnd"/>
      <w:r w:rsidRPr="004E6219">
        <w:rPr>
          <w:rFonts w:asciiTheme="minorHAnsi" w:hAnsiTheme="minorHAnsi"/>
          <w:i/>
        </w:rPr>
        <w:t xml:space="preserve"> </w:t>
      </w:r>
      <w:proofErr w:type="spellStart"/>
      <w:r w:rsidRPr="004E6219">
        <w:rPr>
          <w:rFonts w:asciiTheme="minorHAnsi" w:hAnsiTheme="minorHAnsi"/>
          <w:i/>
        </w:rPr>
        <w:t>Storage</w:t>
      </w:r>
      <w:proofErr w:type="spellEnd"/>
      <w:r w:rsidRPr="004E6219">
        <w:rPr>
          <w:rFonts w:asciiTheme="minorHAnsi" w:hAnsiTheme="minorHAnsi"/>
          <w:i/>
        </w:rPr>
        <w:t xml:space="preserve">): </w:t>
      </w:r>
    </w:p>
    <w:p w14:paraId="6D946377" w14:textId="77777777" w:rsidR="005A4231" w:rsidRPr="004E6219" w:rsidRDefault="005A4231" w:rsidP="001A579A">
      <w:pPr>
        <w:rPr>
          <w:rFonts w:asciiTheme="minorHAnsi" w:hAnsiTheme="minorHAnsi"/>
          <w:i/>
        </w:rPr>
      </w:pPr>
    </w:p>
    <w:tbl>
      <w:tblPr>
        <w:tblStyle w:val="Mkatabulky"/>
        <w:tblW w:w="0" w:type="auto"/>
        <w:tblLook w:val="04A0" w:firstRow="1" w:lastRow="0" w:firstColumn="1" w:lastColumn="0" w:noHBand="0" w:noVBand="1"/>
      </w:tblPr>
      <w:tblGrid>
        <w:gridCol w:w="2414"/>
        <w:gridCol w:w="2506"/>
        <w:gridCol w:w="2070"/>
      </w:tblGrid>
      <w:tr w:rsidR="001A579A" w:rsidRPr="003A5AA8" w14:paraId="60B9ED49" w14:textId="77777777" w:rsidTr="001A579A">
        <w:tc>
          <w:tcPr>
            <w:tcW w:w="2414" w:type="dxa"/>
          </w:tcPr>
          <w:p w14:paraId="1832486C" w14:textId="77777777" w:rsidR="001A579A" w:rsidRPr="003A5AA8" w:rsidRDefault="001A579A" w:rsidP="001A579A">
            <w:pPr>
              <w:rPr>
                <w:rFonts w:asciiTheme="minorHAnsi" w:hAnsiTheme="minorHAnsi"/>
              </w:rPr>
            </w:pPr>
            <w:r w:rsidRPr="003A5AA8">
              <w:rPr>
                <w:rFonts w:asciiTheme="minorHAnsi" w:hAnsiTheme="minorHAnsi"/>
              </w:rPr>
              <w:t xml:space="preserve">Datum aukce </w:t>
            </w:r>
          </w:p>
        </w:tc>
        <w:tc>
          <w:tcPr>
            <w:tcW w:w="2506" w:type="dxa"/>
          </w:tcPr>
          <w:p w14:paraId="5C112515" w14:textId="77777777" w:rsidR="001A579A" w:rsidRPr="003A5AA8" w:rsidRDefault="001A579A" w:rsidP="001A579A">
            <w:pPr>
              <w:rPr>
                <w:rFonts w:asciiTheme="minorHAnsi" w:hAnsiTheme="minorHAnsi"/>
              </w:rPr>
            </w:pPr>
            <w:r w:rsidRPr="003A5AA8">
              <w:rPr>
                <w:rFonts w:asciiTheme="minorHAnsi" w:hAnsiTheme="minorHAnsi"/>
              </w:rPr>
              <w:t>Prodaná kapacita</w:t>
            </w:r>
          </w:p>
        </w:tc>
        <w:tc>
          <w:tcPr>
            <w:tcW w:w="2070" w:type="dxa"/>
          </w:tcPr>
          <w:p w14:paraId="18C88C45" w14:textId="77777777" w:rsidR="001A579A" w:rsidRPr="003A5AA8" w:rsidRDefault="001A579A" w:rsidP="001A579A">
            <w:pPr>
              <w:rPr>
                <w:rFonts w:asciiTheme="minorHAnsi" w:hAnsiTheme="minorHAnsi"/>
              </w:rPr>
            </w:pPr>
            <w:r w:rsidRPr="003A5AA8">
              <w:rPr>
                <w:rFonts w:asciiTheme="minorHAnsi" w:hAnsiTheme="minorHAnsi"/>
              </w:rPr>
              <w:t>Skladovací rok</w:t>
            </w:r>
          </w:p>
        </w:tc>
      </w:tr>
      <w:tr w:rsidR="001A579A" w:rsidRPr="003A5AA8" w14:paraId="57472A63" w14:textId="77777777" w:rsidTr="001A579A">
        <w:tc>
          <w:tcPr>
            <w:tcW w:w="2414" w:type="dxa"/>
          </w:tcPr>
          <w:p w14:paraId="57D0E887" w14:textId="77777777" w:rsidR="001A579A" w:rsidRPr="003A5AA8" w:rsidRDefault="001A579A" w:rsidP="001A579A">
            <w:pPr>
              <w:rPr>
                <w:rFonts w:asciiTheme="minorHAnsi" w:hAnsiTheme="minorHAnsi"/>
              </w:rPr>
            </w:pPr>
            <w:r w:rsidRPr="003A5AA8">
              <w:rPr>
                <w:rFonts w:asciiTheme="minorHAnsi" w:hAnsiTheme="minorHAnsi"/>
              </w:rPr>
              <w:t>14. 5. 2015</w:t>
            </w:r>
          </w:p>
        </w:tc>
        <w:tc>
          <w:tcPr>
            <w:tcW w:w="2506" w:type="dxa"/>
          </w:tcPr>
          <w:p w14:paraId="0475692D" w14:textId="77777777" w:rsidR="001A579A" w:rsidRPr="003A5AA8" w:rsidRDefault="001A579A" w:rsidP="001A579A">
            <w:pPr>
              <w:rPr>
                <w:rFonts w:asciiTheme="minorHAnsi" w:hAnsiTheme="minorHAnsi"/>
              </w:rPr>
            </w:pPr>
            <w:r w:rsidRPr="003A5AA8">
              <w:rPr>
                <w:rFonts w:asciiTheme="minorHAnsi" w:hAnsiTheme="minorHAnsi"/>
              </w:rPr>
              <w:t>55%</w:t>
            </w:r>
          </w:p>
        </w:tc>
        <w:tc>
          <w:tcPr>
            <w:tcW w:w="2070" w:type="dxa"/>
          </w:tcPr>
          <w:p w14:paraId="27508691" w14:textId="77777777" w:rsidR="001A579A" w:rsidRPr="003A5AA8" w:rsidRDefault="001A579A" w:rsidP="001A579A">
            <w:pPr>
              <w:rPr>
                <w:rFonts w:asciiTheme="minorHAnsi" w:hAnsiTheme="minorHAnsi"/>
              </w:rPr>
            </w:pPr>
            <w:r w:rsidRPr="003A5AA8">
              <w:rPr>
                <w:rFonts w:asciiTheme="minorHAnsi" w:hAnsiTheme="minorHAnsi"/>
              </w:rPr>
              <w:t>2016 / 2017</w:t>
            </w:r>
          </w:p>
        </w:tc>
      </w:tr>
      <w:tr w:rsidR="001A579A" w:rsidRPr="003A5AA8" w14:paraId="2975D3CC" w14:textId="77777777" w:rsidTr="001A579A">
        <w:tc>
          <w:tcPr>
            <w:tcW w:w="2414" w:type="dxa"/>
          </w:tcPr>
          <w:p w14:paraId="6031FD44" w14:textId="77777777" w:rsidR="001A579A" w:rsidRPr="003A5AA8" w:rsidRDefault="001A579A" w:rsidP="001A579A">
            <w:pPr>
              <w:rPr>
                <w:rFonts w:asciiTheme="minorHAnsi" w:hAnsiTheme="minorHAnsi"/>
              </w:rPr>
            </w:pPr>
            <w:r w:rsidRPr="003A5AA8">
              <w:rPr>
                <w:rFonts w:asciiTheme="minorHAnsi" w:hAnsiTheme="minorHAnsi"/>
              </w:rPr>
              <w:t>14. 5. 2015</w:t>
            </w:r>
          </w:p>
        </w:tc>
        <w:tc>
          <w:tcPr>
            <w:tcW w:w="2506" w:type="dxa"/>
          </w:tcPr>
          <w:p w14:paraId="78CE09B8" w14:textId="77777777" w:rsidR="001A579A" w:rsidRPr="003A5AA8" w:rsidRDefault="001A579A" w:rsidP="001A579A">
            <w:pPr>
              <w:rPr>
                <w:rFonts w:asciiTheme="minorHAnsi" w:hAnsiTheme="minorHAnsi"/>
              </w:rPr>
            </w:pPr>
            <w:r w:rsidRPr="003A5AA8">
              <w:rPr>
                <w:rFonts w:asciiTheme="minorHAnsi" w:hAnsiTheme="minorHAnsi"/>
              </w:rPr>
              <w:t>71,5%</w:t>
            </w:r>
          </w:p>
        </w:tc>
        <w:tc>
          <w:tcPr>
            <w:tcW w:w="2070" w:type="dxa"/>
          </w:tcPr>
          <w:p w14:paraId="1357C6E4" w14:textId="77777777" w:rsidR="001A579A" w:rsidRPr="003A5AA8" w:rsidRDefault="001A579A" w:rsidP="001A579A">
            <w:pPr>
              <w:rPr>
                <w:rFonts w:asciiTheme="minorHAnsi" w:hAnsiTheme="minorHAnsi"/>
              </w:rPr>
            </w:pPr>
            <w:r w:rsidRPr="003A5AA8">
              <w:rPr>
                <w:rFonts w:asciiTheme="minorHAnsi" w:hAnsiTheme="minorHAnsi"/>
              </w:rPr>
              <w:t>2016 / 2017</w:t>
            </w:r>
          </w:p>
        </w:tc>
      </w:tr>
      <w:tr w:rsidR="001A579A" w:rsidRPr="003A5AA8" w14:paraId="76479D46" w14:textId="77777777" w:rsidTr="001A579A">
        <w:tc>
          <w:tcPr>
            <w:tcW w:w="2414" w:type="dxa"/>
          </w:tcPr>
          <w:p w14:paraId="284B1114" w14:textId="77777777" w:rsidR="001A579A" w:rsidRPr="003A5AA8" w:rsidRDefault="001A579A" w:rsidP="001A579A">
            <w:pPr>
              <w:rPr>
                <w:rFonts w:asciiTheme="minorHAnsi" w:hAnsiTheme="minorHAnsi"/>
              </w:rPr>
            </w:pPr>
            <w:r w:rsidRPr="003A5AA8">
              <w:rPr>
                <w:rFonts w:asciiTheme="minorHAnsi" w:hAnsiTheme="minorHAnsi"/>
              </w:rPr>
              <w:t>2. 6. 2015</w:t>
            </w:r>
          </w:p>
        </w:tc>
        <w:tc>
          <w:tcPr>
            <w:tcW w:w="2506" w:type="dxa"/>
          </w:tcPr>
          <w:p w14:paraId="62DAE92E" w14:textId="77777777" w:rsidR="001A579A" w:rsidRPr="003A5AA8" w:rsidRDefault="001A579A" w:rsidP="001A579A">
            <w:pPr>
              <w:rPr>
                <w:rFonts w:asciiTheme="minorHAnsi" w:hAnsiTheme="minorHAnsi"/>
              </w:rPr>
            </w:pPr>
            <w:r w:rsidRPr="003A5AA8">
              <w:rPr>
                <w:rFonts w:asciiTheme="minorHAnsi" w:hAnsiTheme="minorHAnsi"/>
              </w:rPr>
              <w:t>100%</w:t>
            </w:r>
          </w:p>
        </w:tc>
        <w:tc>
          <w:tcPr>
            <w:tcW w:w="2070" w:type="dxa"/>
          </w:tcPr>
          <w:p w14:paraId="03307D67" w14:textId="77777777" w:rsidR="001A579A" w:rsidRPr="003A5AA8" w:rsidRDefault="001A579A" w:rsidP="001A579A">
            <w:pPr>
              <w:rPr>
                <w:rFonts w:asciiTheme="minorHAnsi" w:hAnsiTheme="minorHAnsi"/>
              </w:rPr>
            </w:pPr>
            <w:r w:rsidRPr="003A5AA8">
              <w:rPr>
                <w:rFonts w:asciiTheme="minorHAnsi" w:hAnsiTheme="minorHAnsi"/>
              </w:rPr>
              <w:t>2016 / 2017</w:t>
            </w:r>
          </w:p>
        </w:tc>
      </w:tr>
      <w:tr w:rsidR="001A579A" w:rsidRPr="003A5AA8" w14:paraId="0FA13B97" w14:textId="77777777" w:rsidTr="001A579A">
        <w:tc>
          <w:tcPr>
            <w:tcW w:w="2414" w:type="dxa"/>
          </w:tcPr>
          <w:p w14:paraId="346983DD" w14:textId="77777777" w:rsidR="001A579A" w:rsidRPr="003A5AA8" w:rsidRDefault="001A579A" w:rsidP="001A579A">
            <w:pPr>
              <w:rPr>
                <w:rFonts w:asciiTheme="minorHAnsi" w:hAnsiTheme="minorHAnsi"/>
              </w:rPr>
            </w:pPr>
            <w:r w:rsidRPr="003A5AA8">
              <w:rPr>
                <w:rFonts w:asciiTheme="minorHAnsi" w:hAnsiTheme="minorHAnsi"/>
              </w:rPr>
              <w:t>22. 10. 2015</w:t>
            </w:r>
          </w:p>
        </w:tc>
        <w:tc>
          <w:tcPr>
            <w:tcW w:w="2506" w:type="dxa"/>
          </w:tcPr>
          <w:p w14:paraId="4EF48263" w14:textId="77777777" w:rsidR="001A579A" w:rsidRPr="003A5AA8" w:rsidRDefault="001A579A" w:rsidP="001A579A">
            <w:pPr>
              <w:rPr>
                <w:rFonts w:asciiTheme="minorHAnsi" w:hAnsiTheme="minorHAnsi"/>
              </w:rPr>
            </w:pPr>
            <w:r w:rsidRPr="003A5AA8">
              <w:rPr>
                <w:rFonts w:asciiTheme="minorHAnsi" w:hAnsiTheme="minorHAnsi"/>
              </w:rPr>
              <w:t>9,5%</w:t>
            </w:r>
          </w:p>
        </w:tc>
        <w:tc>
          <w:tcPr>
            <w:tcW w:w="2070" w:type="dxa"/>
          </w:tcPr>
          <w:p w14:paraId="153AE649" w14:textId="77777777" w:rsidR="001A579A" w:rsidRPr="003A5AA8" w:rsidRDefault="001A579A" w:rsidP="001A579A">
            <w:pPr>
              <w:rPr>
                <w:rFonts w:asciiTheme="minorHAnsi" w:hAnsiTheme="minorHAnsi"/>
              </w:rPr>
            </w:pPr>
            <w:r w:rsidRPr="003A5AA8">
              <w:rPr>
                <w:rFonts w:asciiTheme="minorHAnsi" w:hAnsiTheme="minorHAnsi"/>
              </w:rPr>
              <w:t>2016 / 2017</w:t>
            </w:r>
          </w:p>
        </w:tc>
      </w:tr>
      <w:tr w:rsidR="001A579A" w:rsidRPr="003A5AA8" w14:paraId="35D7681D" w14:textId="77777777" w:rsidTr="001A579A">
        <w:tc>
          <w:tcPr>
            <w:tcW w:w="2414" w:type="dxa"/>
          </w:tcPr>
          <w:p w14:paraId="3777C4C1" w14:textId="77777777" w:rsidR="001A579A" w:rsidRPr="003A5AA8" w:rsidRDefault="001A579A" w:rsidP="001A579A">
            <w:pPr>
              <w:rPr>
                <w:rFonts w:asciiTheme="minorHAnsi" w:hAnsiTheme="minorHAnsi"/>
              </w:rPr>
            </w:pPr>
            <w:r w:rsidRPr="003A5AA8">
              <w:rPr>
                <w:rFonts w:asciiTheme="minorHAnsi" w:hAnsiTheme="minorHAnsi"/>
              </w:rPr>
              <w:t>22. 10. 2015</w:t>
            </w:r>
          </w:p>
        </w:tc>
        <w:tc>
          <w:tcPr>
            <w:tcW w:w="2506" w:type="dxa"/>
          </w:tcPr>
          <w:p w14:paraId="08C40319" w14:textId="77777777" w:rsidR="001A579A" w:rsidRPr="003A5AA8" w:rsidRDefault="001A579A" w:rsidP="001A579A">
            <w:pPr>
              <w:rPr>
                <w:rFonts w:asciiTheme="minorHAnsi" w:hAnsiTheme="minorHAnsi"/>
              </w:rPr>
            </w:pPr>
            <w:r w:rsidRPr="003A5AA8">
              <w:rPr>
                <w:rFonts w:asciiTheme="minorHAnsi" w:hAnsiTheme="minorHAnsi"/>
              </w:rPr>
              <w:t>0%</w:t>
            </w:r>
          </w:p>
        </w:tc>
        <w:tc>
          <w:tcPr>
            <w:tcW w:w="2070" w:type="dxa"/>
          </w:tcPr>
          <w:p w14:paraId="62B78788" w14:textId="77777777" w:rsidR="001A579A" w:rsidRPr="003A5AA8" w:rsidRDefault="001A579A" w:rsidP="001A579A">
            <w:pPr>
              <w:rPr>
                <w:rFonts w:asciiTheme="minorHAnsi" w:hAnsiTheme="minorHAnsi"/>
              </w:rPr>
            </w:pPr>
            <w:r w:rsidRPr="003A5AA8">
              <w:rPr>
                <w:rFonts w:asciiTheme="minorHAnsi" w:hAnsiTheme="minorHAnsi"/>
              </w:rPr>
              <w:t>2016 / 2017</w:t>
            </w:r>
          </w:p>
        </w:tc>
      </w:tr>
      <w:tr w:rsidR="001A579A" w:rsidRPr="003A5AA8" w14:paraId="35B443EB" w14:textId="77777777" w:rsidTr="001A579A">
        <w:tc>
          <w:tcPr>
            <w:tcW w:w="2414" w:type="dxa"/>
          </w:tcPr>
          <w:p w14:paraId="23C1F61B" w14:textId="77777777" w:rsidR="001A579A" w:rsidRPr="003A5AA8" w:rsidRDefault="001A579A" w:rsidP="001A579A">
            <w:pPr>
              <w:rPr>
                <w:rFonts w:asciiTheme="minorHAnsi" w:hAnsiTheme="minorHAnsi"/>
              </w:rPr>
            </w:pPr>
            <w:r w:rsidRPr="003A5AA8">
              <w:rPr>
                <w:rFonts w:asciiTheme="minorHAnsi" w:hAnsiTheme="minorHAnsi"/>
              </w:rPr>
              <w:t>23. 10. 2015</w:t>
            </w:r>
          </w:p>
        </w:tc>
        <w:tc>
          <w:tcPr>
            <w:tcW w:w="2506" w:type="dxa"/>
          </w:tcPr>
          <w:p w14:paraId="630B2DEB" w14:textId="77777777" w:rsidR="001A579A" w:rsidRPr="003A5AA8" w:rsidRDefault="001A579A" w:rsidP="001A579A">
            <w:pPr>
              <w:rPr>
                <w:rFonts w:asciiTheme="minorHAnsi" w:hAnsiTheme="minorHAnsi"/>
              </w:rPr>
            </w:pPr>
            <w:r w:rsidRPr="003A5AA8">
              <w:rPr>
                <w:rFonts w:asciiTheme="minorHAnsi" w:hAnsiTheme="minorHAnsi"/>
              </w:rPr>
              <w:t>0%</w:t>
            </w:r>
          </w:p>
        </w:tc>
        <w:tc>
          <w:tcPr>
            <w:tcW w:w="2070" w:type="dxa"/>
          </w:tcPr>
          <w:p w14:paraId="3EED6E7B" w14:textId="77777777" w:rsidR="001A579A" w:rsidRPr="003A5AA8" w:rsidRDefault="001A579A" w:rsidP="001A579A">
            <w:pPr>
              <w:rPr>
                <w:rFonts w:asciiTheme="minorHAnsi" w:hAnsiTheme="minorHAnsi"/>
              </w:rPr>
            </w:pPr>
            <w:r w:rsidRPr="003A5AA8">
              <w:rPr>
                <w:rFonts w:asciiTheme="minorHAnsi" w:hAnsiTheme="minorHAnsi"/>
              </w:rPr>
              <w:t>2016 / 2017</w:t>
            </w:r>
          </w:p>
        </w:tc>
      </w:tr>
      <w:tr w:rsidR="001A579A" w:rsidRPr="003A5AA8" w14:paraId="7E9FD6A9" w14:textId="77777777" w:rsidTr="001A579A">
        <w:tc>
          <w:tcPr>
            <w:tcW w:w="2414" w:type="dxa"/>
          </w:tcPr>
          <w:p w14:paraId="5F9E630A" w14:textId="77777777" w:rsidR="001A579A" w:rsidRPr="003A5AA8" w:rsidRDefault="001A579A" w:rsidP="001A579A">
            <w:pPr>
              <w:rPr>
                <w:rFonts w:asciiTheme="minorHAnsi" w:hAnsiTheme="minorHAnsi"/>
              </w:rPr>
            </w:pPr>
            <w:r w:rsidRPr="003A5AA8">
              <w:rPr>
                <w:rFonts w:asciiTheme="minorHAnsi" w:hAnsiTheme="minorHAnsi"/>
              </w:rPr>
              <w:t>23. 11. 2015</w:t>
            </w:r>
          </w:p>
        </w:tc>
        <w:tc>
          <w:tcPr>
            <w:tcW w:w="2506" w:type="dxa"/>
          </w:tcPr>
          <w:p w14:paraId="5A4A5A36" w14:textId="77777777" w:rsidR="001A579A" w:rsidRPr="003A5AA8" w:rsidRDefault="001A579A" w:rsidP="001A579A">
            <w:pPr>
              <w:rPr>
                <w:rFonts w:asciiTheme="minorHAnsi" w:hAnsiTheme="minorHAnsi"/>
              </w:rPr>
            </w:pPr>
            <w:r w:rsidRPr="003A5AA8">
              <w:rPr>
                <w:rFonts w:asciiTheme="minorHAnsi" w:hAnsiTheme="minorHAnsi"/>
              </w:rPr>
              <w:t>0%</w:t>
            </w:r>
          </w:p>
        </w:tc>
        <w:tc>
          <w:tcPr>
            <w:tcW w:w="2070" w:type="dxa"/>
          </w:tcPr>
          <w:p w14:paraId="7173B2D0" w14:textId="77777777" w:rsidR="001A579A" w:rsidRPr="003A5AA8" w:rsidRDefault="001A579A" w:rsidP="001A579A">
            <w:pPr>
              <w:rPr>
                <w:rFonts w:asciiTheme="minorHAnsi" w:hAnsiTheme="minorHAnsi"/>
              </w:rPr>
            </w:pPr>
            <w:r w:rsidRPr="003A5AA8">
              <w:rPr>
                <w:rFonts w:asciiTheme="minorHAnsi" w:hAnsiTheme="minorHAnsi"/>
              </w:rPr>
              <w:t>2016 / 2017</w:t>
            </w:r>
          </w:p>
        </w:tc>
      </w:tr>
      <w:tr w:rsidR="001A579A" w:rsidRPr="003A5AA8" w14:paraId="0B70823D" w14:textId="77777777" w:rsidTr="001A579A">
        <w:tc>
          <w:tcPr>
            <w:tcW w:w="2414" w:type="dxa"/>
          </w:tcPr>
          <w:p w14:paraId="54FB1066" w14:textId="77777777" w:rsidR="001A579A" w:rsidRPr="003A5AA8" w:rsidRDefault="001A579A" w:rsidP="001A579A">
            <w:pPr>
              <w:rPr>
                <w:rFonts w:asciiTheme="minorHAnsi" w:hAnsiTheme="minorHAnsi"/>
              </w:rPr>
            </w:pPr>
            <w:r w:rsidRPr="003A5AA8">
              <w:rPr>
                <w:rFonts w:asciiTheme="minorHAnsi" w:hAnsiTheme="minorHAnsi"/>
              </w:rPr>
              <w:t>18. 12. 2015</w:t>
            </w:r>
          </w:p>
        </w:tc>
        <w:tc>
          <w:tcPr>
            <w:tcW w:w="2506" w:type="dxa"/>
          </w:tcPr>
          <w:p w14:paraId="3EB0EE66" w14:textId="77777777" w:rsidR="001A579A" w:rsidRPr="003A5AA8" w:rsidRDefault="001A579A" w:rsidP="001A579A">
            <w:pPr>
              <w:rPr>
                <w:rFonts w:asciiTheme="minorHAnsi" w:hAnsiTheme="minorHAnsi"/>
              </w:rPr>
            </w:pPr>
            <w:r w:rsidRPr="003A5AA8">
              <w:rPr>
                <w:rFonts w:asciiTheme="minorHAnsi" w:hAnsiTheme="minorHAnsi"/>
              </w:rPr>
              <w:t>0%</w:t>
            </w:r>
          </w:p>
        </w:tc>
        <w:tc>
          <w:tcPr>
            <w:tcW w:w="2070" w:type="dxa"/>
          </w:tcPr>
          <w:p w14:paraId="24B694A0" w14:textId="77777777" w:rsidR="001A579A" w:rsidRPr="003A5AA8" w:rsidRDefault="001A579A" w:rsidP="001A579A">
            <w:pPr>
              <w:rPr>
                <w:rFonts w:asciiTheme="minorHAnsi" w:hAnsiTheme="minorHAnsi"/>
              </w:rPr>
            </w:pPr>
            <w:r w:rsidRPr="003A5AA8">
              <w:rPr>
                <w:rFonts w:asciiTheme="minorHAnsi" w:hAnsiTheme="minorHAnsi"/>
              </w:rPr>
              <w:t>2016 / 2017</w:t>
            </w:r>
          </w:p>
        </w:tc>
      </w:tr>
      <w:tr w:rsidR="001A579A" w:rsidRPr="003A5AA8" w14:paraId="6493A736" w14:textId="77777777" w:rsidTr="001A579A">
        <w:tc>
          <w:tcPr>
            <w:tcW w:w="2414" w:type="dxa"/>
          </w:tcPr>
          <w:p w14:paraId="764115E7" w14:textId="77777777" w:rsidR="001A579A" w:rsidRPr="003A5AA8" w:rsidRDefault="001A579A" w:rsidP="001A579A">
            <w:pPr>
              <w:rPr>
                <w:rFonts w:asciiTheme="minorHAnsi" w:hAnsiTheme="minorHAnsi"/>
              </w:rPr>
            </w:pPr>
            <w:r w:rsidRPr="003A5AA8">
              <w:rPr>
                <w:rFonts w:asciiTheme="minorHAnsi" w:hAnsiTheme="minorHAnsi"/>
              </w:rPr>
              <w:t>28. 1 2016</w:t>
            </w:r>
          </w:p>
        </w:tc>
        <w:tc>
          <w:tcPr>
            <w:tcW w:w="2506" w:type="dxa"/>
          </w:tcPr>
          <w:p w14:paraId="39F24484" w14:textId="77777777" w:rsidR="001A579A" w:rsidRPr="003A5AA8" w:rsidRDefault="001A579A" w:rsidP="001A579A">
            <w:pPr>
              <w:rPr>
                <w:rFonts w:asciiTheme="minorHAnsi" w:hAnsiTheme="minorHAnsi"/>
              </w:rPr>
            </w:pPr>
            <w:r w:rsidRPr="003A5AA8">
              <w:rPr>
                <w:rFonts w:asciiTheme="minorHAnsi" w:hAnsiTheme="minorHAnsi"/>
              </w:rPr>
              <w:t>8,1%</w:t>
            </w:r>
          </w:p>
        </w:tc>
        <w:tc>
          <w:tcPr>
            <w:tcW w:w="2070" w:type="dxa"/>
          </w:tcPr>
          <w:p w14:paraId="1E3B50B3" w14:textId="77777777" w:rsidR="001A579A" w:rsidRPr="003A5AA8" w:rsidRDefault="001A579A" w:rsidP="001A579A">
            <w:pPr>
              <w:rPr>
                <w:rFonts w:asciiTheme="minorHAnsi" w:hAnsiTheme="minorHAnsi"/>
              </w:rPr>
            </w:pPr>
            <w:r w:rsidRPr="003A5AA8">
              <w:rPr>
                <w:rFonts w:asciiTheme="minorHAnsi" w:hAnsiTheme="minorHAnsi"/>
              </w:rPr>
              <w:t>2016 / 2017</w:t>
            </w:r>
          </w:p>
        </w:tc>
      </w:tr>
      <w:tr w:rsidR="001A579A" w:rsidRPr="003A5AA8" w14:paraId="0D1BB04E" w14:textId="77777777" w:rsidTr="001A579A">
        <w:tc>
          <w:tcPr>
            <w:tcW w:w="2414" w:type="dxa"/>
          </w:tcPr>
          <w:p w14:paraId="0F82A7B3" w14:textId="77777777" w:rsidR="001A579A" w:rsidRPr="003A5AA8" w:rsidRDefault="001A579A" w:rsidP="001A579A">
            <w:pPr>
              <w:rPr>
                <w:rFonts w:asciiTheme="minorHAnsi" w:hAnsiTheme="minorHAnsi"/>
              </w:rPr>
            </w:pPr>
            <w:r w:rsidRPr="003A5AA8">
              <w:rPr>
                <w:rFonts w:asciiTheme="minorHAnsi" w:hAnsiTheme="minorHAnsi"/>
              </w:rPr>
              <w:t>1. 2. 2016</w:t>
            </w:r>
          </w:p>
        </w:tc>
        <w:tc>
          <w:tcPr>
            <w:tcW w:w="2506" w:type="dxa"/>
          </w:tcPr>
          <w:p w14:paraId="226832C7" w14:textId="77777777" w:rsidR="001A579A" w:rsidRPr="003A5AA8" w:rsidRDefault="001A579A" w:rsidP="001A579A">
            <w:pPr>
              <w:rPr>
                <w:rFonts w:asciiTheme="minorHAnsi" w:hAnsiTheme="minorHAnsi"/>
              </w:rPr>
            </w:pPr>
            <w:r w:rsidRPr="003A5AA8">
              <w:rPr>
                <w:rFonts w:asciiTheme="minorHAnsi" w:hAnsiTheme="minorHAnsi"/>
              </w:rPr>
              <w:t>5,4%</w:t>
            </w:r>
          </w:p>
        </w:tc>
        <w:tc>
          <w:tcPr>
            <w:tcW w:w="2070" w:type="dxa"/>
          </w:tcPr>
          <w:p w14:paraId="1270D157" w14:textId="77777777" w:rsidR="001A579A" w:rsidRPr="003A5AA8" w:rsidRDefault="001A579A" w:rsidP="001A579A">
            <w:pPr>
              <w:rPr>
                <w:rFonts w:asciiTheme="minorHAnsi" w:hAnsiTheme="minorHAnsi"/>
              </w:rPr>
            </w:pPr>
            <w:r w:rsidRPr="003A5AA8">
              <w:rPr>
                <w:rFonts w:asciiTheme="minorHAnsi" w:hAnsiTheme="minorHAnsi"/>
              </w:rPr>
              <w:t>2016 / 2017</w:t>
            </w:r>
          </w:p>
        </w:tc>
      </w:tr>
      <w:tr w:rsidR="001A579A" w:rsidRPr="003A5AA8" w14:paraId="609E7078" w14:textId="77777777" w:rsidTr="001A579A">
        <w:tc>
          <w:tcPr>
            <w:tcW w:w="2414" w:type="dxa"/>
          </w:tcPr>
          <w:p w14:paraId="7A474E90" w14:textId="77777777" w:rsidR="001A579A" w:rsidRPr="003A5AA8" w:rsidRDefault="001A579A" w:rsidP="001A579A">
            <w:pPr>
              <w:rPr>
                <w:rFonts w:asciiTheme="minorHAnsi" w:hAnsiTheme="minorHAnsi"/>
              </w:rPr>
            </w:pPr>
            <w:r w:rsidRPr="003A5AA8">
              <w:rPr>
                <w:rFonts w:asciiTheme="minorHAnsi" w:hAnsiTheme="minorHAnsi"/>
              </w:rPr>
              <w:t>19. 2. 2016</w:t>
            </w:r>
          </w:p>
        </w:tc>
        <w:tc>
          <w:tcPr>
            <w:tcW w:w="2506" w:type="dxa"/>
          </w:tcPr>
          <w:p w14:paraId="1C9DED4A" w14:textId="77777777" w:rsidR="001A579A" w:rsidRPr="003A5AA8" w:rsidRDefault="001A579A" w:rsidP="001A579A">
            <w:pPr>
              <w:rPr>
                <w:rFonts w:asciiTheme="minorHAnsi" w:hAnsiTheme="minorHAnsi"/>
              </w:rPr>
            </w:pPr>
            <w:r w:rsidRPr="003A5AA8">
              <w:rPr>
                <w:rFonts w:asciiTheme="minorHAnsi" w:hAnsiTheme="minorHAnsi"/>
              </w:rPr>
              <w:t>1,5%</w:t>
            </w:r>
          </w:p>
        </w:tc>
        <w:tc>
          <w:tcPr>
            <w:tcW w:w="2070" w:type="dxa"/>
          </w:tcPr>
          <w:p w14:paraId="71A4F6D6" w14:textId="77777777" w:rsidR="001A579A" w:rsidRPr="003A5AA8" w:rsidRDefault="001A579A" w:rsidP="001A579A">
            <w:pPr>
              <w:rPr>
                <w:rFonts w:asciiTheme="minorHAnsi" w:hAnsiTheme="minorHAnsi"/>
              </w:rPr>
            </w:pPr>
            <w:r w:rsidRPr="003A5AA8">
              <w:rPr>
                <w:rFonts w:asciiTheme="minorHAnsi" w:hAnsiTheme="minorHAnsi"/>
              </w:rPr>
              <w:t>2016 / 2017</w:t>
            </w:r>
          </w:p>
        </w:tc>
      </w:tr>
      <w:tr w:rsidR="001A579A" w:rsidRPr="003A5AA8" w14:paraId="1CF69556" w14:textId="77777777" w:rsidTr="001A579A">
        <w:tc>
          <w:tcPr>
            <w:tcW w:w="2414" w:type="dxa"/>
          </w:tcPr>
          <w:p w14:paraId="394D87D5" w14:textId="77777777" w:rsidR="001A579A" w:rsidRPr="003A5AA8" w:rsidRDefault="001A579A" w:rsidP="001A579A">
            <w:pPr>
              <w:rPr>
                <w:rFonts w:asciiTheme="minorHAnsi" w:hAnsiTheme="minorHAnsi"/>
              </w:rPr>
            </w:pPr>
            <w:r w:rsidRPr="003A5AA8">
              <w:rPr>
                <w:rFonts w:asciiTheme="minorHAnsi" w:hAnsiTheme="minorHAnsi"/>
              </w:rPr>
              <w:t>22. 2. 2016</w:t>
            </w:r>
          </w:p>
        </w:tc>
        <w:tc>
          <w:tcPr>
            <w:tcW w:w="2506" w:type="dxa"/>
          </w:tcPr>
          <w:p w14:paraId="6E60C0DB" w14:textId="77777777" w:rsidR="001A579A" w:rsidRPr="003A5AA8" w:rsidRDefault="001A579A" w:rsidP="001A579A">
            <w:pPr>
              <w:rPr>
                <w:rFonts w:asciiTheme="minorHAnsi" w:hAnsiTheme="minorHAnsi"/>
                <w:lang w:val="en-US"/>
              </w:rPr>
            </w:pPr>
            <w:r w:rsidRPr="003A5AA8">
              <w:rPr>
                <w:rFonts w:asciiTheme="minorHAnsi" w:hAnsiTheme="minorHAnsi"/>
                <w:lang w:val="en-US"/>
              </w:rPr>
              <w:t>100%</w:t>
            </w:r>
          </w:p>
        </w:tc>
        <w:tc>
          <w:tcPr>
            <w:tcW w:w="2070" w:type="dxa"/>
          </w:tcPr>
          <w:p w14:paraId="10D38088" w14:textId="77777777" w:rsidR="001A579A" w:rsidRPr="003A5AA8" w:rsidRDefault="001A579A" w:rsidP="001A579A">
            <w:pPr>
              <w:rPr>
                <w:rFonts w:asciiTheme="minorHAnsi" w:hAnsiTheme="minorHAnsi"/>
                <w:lang w:val="en-US"/>
              </w:rPr>
            </w:pPr>
            <w:r w:rsidRPr="003A5AA8">
              <w:rPr>
                <w:rFonts w:asciiTheme="minorHAnsi" w:hAnsiTheme="minorHAnsi"/>
              </w:rPr>
              <w:t>2016 / 2017</w:t>
            </w:r>
          </w:p>
        </w:tc>
      </w:tr>
      <w:tr w:rsidR="001A579A" w:rsidRPr="003A5AA8" w14:paraId="608FD56B" w14:textId="77777777" w:rsidTr="001A579A">
        <w:tc>
          <w:tcPr>
            <w:tcW w:w="2414" w:type="dxa"/>
          </w:tcPr>
          <w:p w14:paraId="3ACBB300" w14:textId="77777777" w:rsidR="001A579A" w:rsidRPr="003A5AA8" w:rsidRDefault="001A579A" w:rsidP="001A579A">
            <w:pPr>
              <w:rPr>
                <w:rFonts w:asciiTheme="minorHAnsi" w:hAnsiTheme="minorHAnsi"/>
              </w:rPr>
            </w:pPr>
            <w:r w:rsidRPr="003A5AA8">
              <w:rPr>
                <w:rFonts w:asciiTheme="minorHAnsi" w:hAnsiTheme="minorHAnsi"/>
              </w:rPr>
              <w:t>7. 3. 2016</w:t>
            </w:r>
          </w:p>
        </w:tc>
        <w:tc>
          <w:tcPr>
            <w:tcW w:w="2506" w:type="dxa"/>
          </w:tcPr>
          <w:p w14:paraId="339EC7AA" w14:textId="77777777" w:rsidR="001A579A" w:rsidRPr="003A5AA8" w:rsidRDefault="001A579A" w:rsidP="001A579A">
            <w:pPr>
              <w:rPr>
                <w:rFonts w:asciiTheme="minorHAnsi" w:hAnsiTheme="minorHAnsi"/>
              </w:rPr>
            </w:pPr>
            <w:r w:rsidRPr="003A5AA8">
              <w:rPr>
                <w:rFonts w:asciiTheme="minorHAnsi" w:hAnsiTheme="minorHAnsi"/>
              </w:rPr>
              <w:t>50%</w:t>
            </w:r>
          </w:p>
        </w:tc>
        <w:tc>
          <w:tcPr>
            <w:tcW w:w="2070" w:type="dxa"/>
          </w:tcPr>
          <w:p w14:paraId="6D5E953A" w14:textId="77777777" w:rsidR="001A579A" w:rsidRPr="003A5AA8" w:rsidRDefault="001A579A" w:rsidP="001A579A">
            <w:pPr>
              <w:rPr>
                <w:rFonts w:asciiTheme="minorHAnsi" w:hAnsiTheme="minorHAnsi"/>
              </w:rPr>
            </w:pPr>
            <w:r w:rsidRPr="003A5AA8">
              <w:rPr>
                <w:rFonts w:asciiTheme="minorHAnsi" w:hAnsiTheme="minorHAnsi"/>
              </w:rPr>
              <w:t>2016 / 2017</w:t>
            </w:r>
          </w:p>
        </w:tc>
      </w:tr>
      <w:tr w:rsidR="001A579A" w:rsidRPr="003A5AA8" w14:paraId="68C8C98B" w14:textId="77777777" w:rsidTr="001A579A">
        <w:tc>
          <w:tcPr>
            <w:tcW w:w="2414" w:type="dxa"/>
          </w:tcPr>
          <w:p w14:paraId="08FB53C0" w14:textId="77777777" w:rsidR="001A579A" w:rsidRPr="003A5AA8" w:rsidRDefault="001A579A" w:rsidP="001A579A">
            <w:pPr>
              <w:rPr>
                <w:rFonts w:asciiTheme="minorHAnsi" w:hAnsiTheme="minorHAnsi"/>
              </w:rPr>
            </w:pPr>
            <w:r w:rsidRPr="003A5AA8">
              <w:rPr>
                <w:rFonts w:asciiTheme="minorHAnsi" w:hAnsiTheme="minorHAnsi"/>
              </w:rPr>
              <w:t>21. 3. 2016</w:t>
            </w:r>
          </w:p>
        </w:tc>
        <w:tc>
          <w:tcPr>
            <w:tcW w:w="2506" w:type="dxa"/>
          </w:tcPr>
          <w:p w14:paraId="2CC8931D" w14:textId="77777777" w:rsidR="001A579A" w:rsidRPr="003A5AA8" w:rsidRDefault="001A579A" w:rsidP="001A579A">
            <w:pPr>
              <w:rPr>
                <w:rFonts w:asciiTheme="minorHAnsi" w:hAnsiTheme="minorHAnsi"/>
              </w:rPr>
            </w:pPr>
            <w:r w:rsidRPr="003A5AA8">
              <w:rPr>
                <w:rFonts w:asciiTheme="minorHAnsi" w:hAnsiTheme="minorHAnsi"/>
              </w:rPr>
              <w:t>70%</w:t>
            </w:r>
          </w:p>
        </w:tc>
        <w:tc>
          <w:tcPr>
            <w:tcW w:w="2070" w:type="dxa"/>
          </w:tcPr>
          <w:p w14:paraId="25C09960" w14:textId="77777777" w:rsidR="001A579A" w:rsidRPr="003A5AA8" w:rsidRDefault="001A579A" w:rsidP="001A579A">
            <w:pPr>
              <w:rPr>
                <w:rFonts w:asciiTheme="minorHAnsi" w:hAnsiTheme="minorHAnsi"/>
              </w:rPr>
            </w:pPr>
            <w:r w:rsidRPr="003A5AA8">
              <w:rPr>
                <w:rFonts w:asciiTheme="minorHAnsi" w:hAnsiTheme="minorHAnsi"/>
              </w:rPr>
              <w:t>2016 / 2017</w:t>
            </w:r>
          </w:p>
        </w:tc>
      </w:tr>
      <w:tr w:rsidR="001A579A" w:rsidRPr="003A5AA8" w14:paraId="608C72F4" w14:textId="77777777" w:rsidTr="001A579A">
        <w:tc>
          <w:tcPr>
            <w:tcW w:w="2414" w:type="dxa"/>
          </w:tcPr>
          <w:p w14:paraId="79E8D93F" w14:textId="77777777" w:rsidR="001A579A" w:rsidRPr="003A5AA8" w:rsidRDefault="001A579A" w:rsidP="001A579A">
            <w:pPr>
              <w:rPr>
                <w:rFonts w:asciiTheme="minorHAnsi" w:hAnsiTheme="minorHAnsi"/>
              </w:rPr>
            </w:pPr>
            <w:r w:rsidRPr="003A5AA8">
              <w:rPr>
                <w:rFonts w:asciiTheme="minorHAnsi" w:hAnsiTheme="minorHAnsi"/>
              </w:rPr>
              <w:t>23. 3. 2016</w:t>
            </w:r>
          </w:p>
        </w:tc>
        <w:tc>
          <w:tcPr>
            <w:tcW w:w="2506" w:type="dxa"/>
          </w:tcPr>
          <w:p w14:paraId="74E33A79" w14:textId="77777777" w:rsidR="001A579A" w:rsidRPr="003A5AA8" w:rsidRDefault="001A579A" w:rsidP="001A579A">
            <w:pPr>
              <w:rPr>
                <w:rFonts w:asciiTheme="minorHAnsi" w:hAnsiTheme="minorHAnsi"/>
              </w:rPr>
            </w:pPr>
            <w:r w:rsidRPr="003A5AA8">
              <w:rPr>
                <w:rFonts w:asciiTheme="minorHAnsi" w:hAnsiTheme="minorHAnsi"/>
              </w:rPr>
              <w:t>91%</w:t>
            </w:r>
          </w:p>
        </w:tc>
        <w:tc>
          <w:tcPr>
            <w:tcW w:w="2070" w:type="dxa"/>
          </w:tcPr>
          <w:p w14:paraId="4C472613" w14:textId="77777777" w:rsidR="001A579A" w:rsidRPr="003A5AA8" w:rsidRDefault="001A579A" w:rsidP="001A579A">
            <w:pPr>
              <w:rPr>
                <w:rFonts w:asciiTheme="minorHAnsi" w:hAnsiTheme="minorHAnsi"/>
              </w:rPr>
            </w:pPr>
            <w:r w:rsidRPr="003A5AA8">
              <w:rPr>
                <w:rFonts w:asciiTheme="minorHAnsi" w:hAnsiTheme="minorHAnsi"/>
              </w:rPr>
              <w:t>2016 / 2017</w:t>
            </w:r>
          </w:p>
        </w:tc>
      </w:tr>
      <w:tr w:rsidR="001A579A" w:rsidRPr="003A5AA8" w14:paraId="7DFB0FEB" w14:textId="77777777" w:rsidTr="001A579A">
        <w:tc>
          <w:tcPr>
            <w:tcW w:w="2414" w:type="dxa"/>
          </w:tcPr>
          <w:p w14:paraId="0722E27F" w14:textId="77777777" w:rsidR="001A579A" w:rsidRPr="003A5AA8" w:rsidRDefault="001A579A" w:rsidP="001A579A">
            <w:pPr>
              <w:rPr>
                <w:rFonts w:asciiTheme="minorHAnsi" w:hAnsiTheme="minorHAnsi"/>
              </w:rPr>
            </w:pPr>
            <w:r w:rsidRPr="003A5AA8">
              <w:rPr>
                <w:rFonts w:asciiTheme="minorHAnsi" w:hAnsiTheme="minorHAnsi"/>
              </w:rPr>
              <w:t>18. 4. 2016</w:t>
            </w:r>
          </w:p>
        </w:tc>
        <w:tc>
          <w:tcPr>
            <w:tcW w:w="2506" w:type="dxa"/>
          </w:tcPr>
          <w:p w14:paraId="6057CC2B" w14:textId="77777777" w:rsidR="001A579A" w:rsidRPr="003A5AA8" w:rsidRDefault="001A579A" w:rsidP="001A579A">
            <w:pPr>
              <w:rPr>
                <w:rFonts w:asciiTheme="minorHAnsi" w:hAnsiTheme="minorHAnsi"/>
              </w:rPr>
            </w:pPr>
            <w:r w:rsidRPr="003A5AA8">
              <w:rPr>
                <w:rFonts w:asciiTheme="minorHAnsi" w:hAnsiTheme="minorHAnsi"/>
              </w:rPr>
              <w:t>100%</w:t>
            </w:r>
          </w:p>
        </w:tc>
        <w:tc>
          <w:tcPr>
            <w:tcW w:w="2070" w:type="dxa"/>
          </w:tcPr>
          <w:p w14:paraId="23408A01" w14:textId="77777777" w:rsidR="001A579A" w:rsidRPr="003A5AA8" w:rsidRDefault="001A579A" w:rsidP="001A579A">
            <w:pPr>
              <w:rPr>
                <w:rFonts w:asciiTheme="minorHAnsi" w:hAnsiTheme="minorHAnsi"/>
              </w:rPr>
            </w:pPr>
            <w:r w:rsidRPr="003A5AA8">
              <w:rPr>
                <w:rFonts w:asciiTheme="minorHAnsi" w:hAnsiTheme="minorHAnsi"/>
              </w:rPr>
              <w:t>2016 / 2017</w:t>
            </w:r>
          </w:p>
        </w:tc>
      </w:tr>
      <w:tr w:rsidR="001A579A" w:rsidRPr="003A5AA8" w14:paraId="50DDB4E6" w14:textId="77777777" w:rsidTr="001A579A">
        <w:tc>
          <w:tcPr>
            <w:tcW w:w="2414" w:type="dxa"/>
            <w:tcBorders>
              <w:bottom w:val="single" w:sz="4" w:space="0" w:color="auto"/>
            </w:tcBorders>
          </w:tcPr>
          <w:p w14:paraId="239E961F" w14:textId="77777777" w:rsidR="001A579A" w:rsidRPr="003A5AA8" w:rsidRDefault="001A579A" w:rsidP="001A579A">
            <w:pPr>
              <w:rPr>
                <w:rFonts w:asciiTheme="minorHAnsi" w:hAnsiTheme="minorHAnsi"/>
              </w:rPr>
            </w:pPr>
            <w:r w:rsidRPr="003A5AA8">
              <w:rPr>
                <w:rFonts w:asciiTheme="minorHAnsi" w:hAnsiTheme="minorHAnsi"/>
              </w:rPr>
              <w:t>23. 5. 2016</w:t>
            </w:r>
          </w:p>
        </w:tc>
        <w:tc>
          <w:tcPr>
            <w:tcW w:w="2506" w:type="dxa"/>
            <w:tcBorders>
              <w:bottom w:val="single" w:sz="4" w:space="0" w:color="auto"/>
            </w:tcBorders>
          </w:tcPr>
          <w:p w14:paraId="15F1DE88" w14:textId="77777777" w:rsidR="001A579A" w:rsidRPr="003A5AA8" w:rsidRDefault="001A579A" w:rsidP="001A579A">
            <w:pPr>
              <w:rPr>
                <w:rFonts w:asciiTheme="minorHAnsi" w:hAnsiTheme="minorHAnsi"/>
              </w:rPr>
            </w:pPr>
            <w:r w:rsidRPr="003A5AA8">
              <w:rPr>
                <w:rFonts w:asciiTheme="minorHAnsi" w:hAnsiTheme="minorHAnsi"/>
              </w:rPr>
              <w:t>100%</w:t>
            </w:r>
          </w:p>
        </w:tc>
        <w:tc>
          <w:tcPr>
            <w:tcW w:w="2070" w:type="dxa"/>
            <w:tcBorders>
              <w:bottom w:val="single" w:sz="4" w:space="0" w:color="auto"/>
            </w:tcBorders>
          </w:tcPr>
          <w:p w14:paraId="7AF2D4E1" w14:textId="77777777" w:rsidR="001A579A" w:rsidRPr="003A5AA8" w:rsidRDefault="001A579A" w:rsidP="001A579A">
            <w:pPr>
              <w:rPr>
                <w:rFonts w:asciiTheme="minorHAnsi" w:hAnsiTheme="minorHAnsi"/>
              </w:rPr>
            </w:pPr>
            <w:r w:rsidRPr="003A5AA8">
              <w:rPr>
                <w:rFonts w:asciiTheme="minorHAnsi" w:hAnsiTheme="minorHAnsi"/>
              </w:rPr>
              <w:t>2016 / 2017</w:t>
            </w:r>
          </w:p>
        </w:tc>
      </w:tr>
    </w:tbl>
    <w:p w14:paraId="6471AA74" w14:textId="77777777" w:rsidR="001A579A" w:rsidRPr="003A5AA8" w:rsidRDefault="001A579A" w:rsidP="001A579A">
      <w:pPr>
        <w:rPr>
          <w:rFonts w:asciiTheme="minorHAnsi" w:hAnsiTheme="minorHAnsi"/>
        </w:rPr>
      </w:pPr>
    </w:p>
    <w:tbl>
      <w:tblPr>
        <w:tblStyle w:val="Mkatabulky"/>
        <w:tblW w:w="0" w:type="auto"/>
        <w:tblLook w:val="04A0" w:firstRow="1" w:lastRow="0" w:firstColumn="1" w:lastColumn="0" w:noHBand="0" w:noVBand="1"/>
      </w:tblPr>
      <w:tblGrid>
        <w:gridCol w:w="2350"/>
        <w:gridCol w:w="2607"/>
        <w:gridCol w:w="2093"/>
      </w:tblGrid>
      <w:tr w:rsidR="001A579A" w:rsidRPr="003A5AA8" w14:paraId="708D1526" w14:textId="77777777" w:rsidTr="001A579A">
        <w:tc>
          <w:tcPr>
            <w:tcW w:w="2350" w:type="dxa"/>
          </w:tcPr>
          <w:p w14:paraId="77A5083E" w14:textId="77777777" w:rsidR="001A579A" w:rsidRPr="003A5AA8" w:rsidRDefault="001A579A" w:rsidP="001A579A">
            <w:pPr>
              <w:rPr>
                <w:rFonts w:asciiTheme="minorHAnsi" w:hAnsiTheme="minorHAnsi"/>
              </w:rPr>
            </w:pPr>
            <w:r w:rsidRPr="003A5AA8">
              <w:rPr>
                <w:rFonts w:asciiTheme="minorHAnsi" w:hAnsiTheme="minorHAnsi"/>
              </w:rPr>
              <w:t xml:space="preserve">Datum aukce </w:t>
            </w:r>
          </w:p>
        </w:tc>
        <w:tc>
          <w:tcPr>
            <w:tcW w:w="2607" w:type="dxa"/>
          </w:tcPr>
          <w:p w14:paraId="113A2624" w14:textId="77777777" w:rsidR="001A579A" w:rsidRPr="003A5AA8" w:rsidRDefault="001A579A" w:rsidP="001A579A">
            <w:pPr>
              <w:rPr>
                <w:rFonts w:asciiTheme="minorHAnsi" w:hAnsiTheme="minorHAnsi"/>
              </w:rPr>
            </w:pPr>
            <w:r w:rsidRPr="003A5AA8">
              <w:rPr>
                <w:rFonts w:asciiTheme="minorHAnsi" w:hAnsiTheme="minorHAnsi"/>
              </w:rPr>
              <w:t>Prodaná kapacita</w:t>
            </w:r>
          </w:p>
        </w:tc>
        <w:tc>
          <w:tcPr>
            <w:tcW w:w="2093" w:type="dxa"/>
          </w:tcPr>
          <w:p w14:paraId="7ED5F10A" w14:textId="77777777" w:rsidR="001A579A" w:rsidRPr="003A5AA8" w:rsidRDefault="001A579A" w:rsidP="001A579A">
            <w:pPr>
              <w:rPr>
                <w:rFonts w:asciiTheme="minorHAnsi" w:hAnsiTheme="minorHAnsi"/>
              </w:rPr>
            </w:pPr>
            <w:r w:rsidRPr="003A5AA8">
              <w:rPr>
                <w:rFonts w:asciiTheme="minorHAnsi" w:hAnsiTheme="minorHAnsi"/>
              </w:rPr>
              <w:t>Skladovací rok</w:t>
            </w:r>
          </w:p>
        </w:tc>
      </w:tr>
      <w:tr w:rsidR="001A579A" w:rsidRPr="003A5AA8" w14:paraId="2E052F89" w14:textId="77777777" w:rsidTr="001A579A">
        <w:trPr>
          <w:trHeight w:val="264"/>
        </w:trPr>
        <w:tc>
          <w:tcPr>
            <w:tcW w:w="2350" w:type="dxa"/>
          </w:tcPr>
          <w:p w14:paraId="6F715135" w14:textId="77777777" w:rsidR="001A579A" w:rsidRPr="003A5AA8" w:rsidRDefault="001A579A" w:rsidP="001A579A">
            <w:pPr>
              <w:ind w:right="-21"/>
              <w:rPr>
                <w:rFonts w:asciiTheme="minorHAnsi" w:hAnsiTheme="minorHAnsi"/>
              </w:rPr>
            </w:pPr>
            <w:r w:rsidRPr="003A5AA8">
              <w:rPr>
                <w:rFonts w:asciiTheme="minorHAnsi" w:hAnsiTheme="minorHAnsi"/>
              </w:rPr>
              <w:t>25. 10. 2016</w:t>
            </w:r>
          </w:p>
        </w:tc>
        <w:tc>
          <w:tcPr>
            <w:tcW w:w="2607" w:type="dxa"/>
          </w:tcPr>
          <w:p w14:paraId="69454893" w14:textId="77777777" w:rsidR="001A579A" w:rsidRPr="003A5AA8" w:rsidRDefault="001A579A" w:rsidP="001A579A">
            <w:pPr>
              <w:ind w:right="-21"/>
              <w:rPr>
                <w:rFonts w:asciiTheme="minorHAnsi" w:hAnsiTheme="minorHAnsi"/>
              </w:rPr>
            </w:pPr>
            <w:r w:rsidRPr="003A5AA8">
              <w:rPr>
                <w:rFonts w:asciiTheme="minorHAnsi" w:hAnsiTheme="minorHAnsi"/>
              </w:rPr>
              <w:t>47%</w:t>
            </w:r>
          </w:p>
        </w:tc>
        <w:tc>
          <w:tcPr>
            <w:tcW w:w="2093" w:type="dxa"/>
          </w:tcPr>
          <w:p w14:paraId="21FE2604" w14:textId="77777777" w:rsidR="001A579A" w:rsidRPr="003A5AA8" w:rsidRDefault="001A579A" w:rsidP="001A579A">
            <w:pPr>
              <w:rPr>
                <w:rFonts w:asciiTheme="minorHAnsi" w:hAnsiTheme="minorHAnsi"/>
              </w:rPr>
            </w:pPr>
            <w:r w:rsidRPr="003A5AA8">
              <w:rPr>
                <w:rFonts w:asciiTheme="minorHAnsi" w:hAnsiTheme="minorHAnsi"/>
              </w:rPr>
              <w:t>2017 / 2018</w:t>
            </w:r>
          </w:p>
        </w:tc>
      </w:tr>
      <w:tr w:rsidR="001A579A" w:rsidRPr="003A5AA8" w14:paraId="03DC678E" w14:textId="77777777" w:rsidTr="001A579A">
        <w:trPr>
          <w:trHeight w:val="250"/>
        </w:trPr>
        <w:tc>
          <w:tcPr>
            <w:tcW w:w="2350" w:type="dxa"/>
          </w:tcPr>
          <w:p w14:paraId="17FD6A92" w14:textId="77777777" w:rsidR="001A579A" w:rsidRPr="003A5AA8" w:rsidRDefault="001A579A" w:rsidP="001A579A">
            <w:pPr>
              <w:ind w:right="-21"/>
              <w:rPr>
                <w:rFonts w:asciiTheme="minorHAnsi" w:hAnsiTheme="minorHAnsi"/>
              </w:rPr>
            </w:pPr>
            <w:r w:rsidRPr="003A5AA8">
              <w:rPr>
                <w:rFonts w:asciiTheme="minorHAnsi" w:hAnsiTheme="minorHAnsi"/>
              </w:rPr>
              <w:t>21. 12. 2016</w:t>
            </w:r>
          </w:p>
        </w:tc>
        <w:tc>
          <w:tcPr>
            <w:tcW w:w="2607" w:type="dxa"/>
          </w:tcPr>
          <w:p w14:paraId="6FEE27AC" w14:textId="77777777" w:rsidR="001A579A" w:rsidRPr="003A5AA8" w:rsidRDefault="001A579A" w:rsidP="001A579A">
            <w:pPr>
              <w:ind w:right="-21"/>
              <w:rPr>
                <w:rFonts w:asciiTheme="minorHAnsi" w:hAnsiTheme="minorHAnsi"/>
              </w:rPr>
            </w:pPr>
            <w:r w:rsidRPr="003A5AA8">
              <w:rPr>
                <w:rFonts w:asciiTheme="minorHAnsi" w:hAnsiTheme="minorHAnsi"/>
              </w:rPr>
              <w:t>100%</w:t>
            </w:r>
          </w:p>
        </w:tc>
        <w:tc>
          <w:tcPr>
            <w:tcW w:w="2093" w:type="dxa"/>
          </w:tcPr>
          <w:p w14:paraId="1E74DA03" w14:textId="77777777" w:rsidR="001A579A" w:rsidRPr="003A5AA8" w:rsidRDefault="001A579A" w:rsidP="001A579A">
            <w:pPr>
              <w:rPr>
                <w:rFonts w:asciiTheme="minorHAnsi" w:hAnsiTheme="minorHAnsi"/>
              </w:rPr>
            </w:pPr>
            <w:r w:rsidRPr="003A5AA8">
              <w:rPr>
                <w:rFonts w:asciiTheme="minorHAnsi" w:hAnsiTheme="minorHAnsi"/>
              </w:rPr>
              <w:t>2017 / 2018</w:t>
            </w:r>
          </w:p>
        </w:tc>
      </w:tr>
      <w:tr w:rsidR="001A579A" w:rsidRPr="003A5AA8" w14:paraId="0F2335E1" w14:textId="77777777" w:rsidTr="001A579A">
        <w:trPr>
          <w:trHeight w:val="250"/>
        </w:trPr>
        <w:tc>
          <w:tcPr>
            <w:tcW w:w="2350" w:type="dxa"/>
          </w:tcPr>
          <w:p w14:paraId="397D6A7C" w14:textId="77777777" w:rsidR="001A579A" w:rsidRPr="003A5AA8" w:rsidRDefault="001A579A" w:rsidP="001A579A">
            <w:pPr>
              <w:ind w:right="-21"/>
              <w:rPr>
                <w:rFonts w:asciiTheme="minorHAnsi" w:hAnsiTheme="minorHAnsi"/>
              </w:rPr>
            </w:pPr>
            <w:r w:rsidRPr="003A5AA8">
              <w:rPr>
                <w:rFonts w:asciiTheme="minorHAnsi" w:hAnsiTheme="minorHAnsi"/>
              </w:rPr>
              <w:t>24. 1. 2017</w:t>
            </w:r>
          </w:p>
        </w:tc>
        <w:tc>
          <w:tcPr>
            <w:tcW w:w="2607" w:type="dxa"/>
          </w:tcPr>
          <w:p w14:paraId="1B6ADDDB" w14:textId="77777777" w:rsidR="001A579A" w:rsidRPr="003A5AA8" w:rsidRDefault="001A579A" w:rsidP="001A579A">
            <w:pPr>
              <w:ind w:right="-21"/>
              <w:rPr>
                <w:rFonts w:asciiTheme="minorHAnsi" w:hAnsiTheme="minorHAnsi"/>
              </w:rPr>
            </w:pPr>
            <w:r w:rsidRPr="003A5AA8">
              <w:rPr>
                <w:rFonts w:asciiTheme="minorHAnsi" w:hAnsiTheme="minorHAnsi"/>
              </w:rPr>
              <w:t>74,1%</w:t>
            </w:r>
          </w:p>
        </w:tc>
        <w:tc>
          <w:tcPr>
            <w:tcW w:w="2093" w:type="dxa"/>
          </w:tcPr>
          <w:p w14:paraId="6DCDE6FC" w14:textId="77777777" w:rsidR="001A579A" w:rsidRPr="003A5AA8" w:rsidRDefault="001A579A" w:rsidP="001A579A">
            <w:pPr>
              <w:rPr>
                <w:rFonts w:asciiTheme="minorHAnsi" w:hAnsiTheme="minorHAnsi"/>
              </w:rPr>
            </w:pPr>
            <w:r w:rsidRPr="003A5AA8">
              <w:rPr>
                <w:rFonts w:asciiTheme="minorHAnsi" w:hAnsiTheme="minorHAnsi"/>
              </w:rPr>
              <w:t>2017 / 2018</w:t>
            </w:r>
          </w:p>
        </w:tc>
      </w:tr>
    </w:tbl>
    <w:p w14:paraId="54D6B49B" w14:textId="77777777" w:rsidR="001A579A" w:rsidRPr="003A5AA8" w:rsidRDefault="001A579A" w:rsidP="001A579A">
      <w:pPr>
        <w:rPr>
          <w:rFonts w:asciiTheme="minorHAnsi" w:hAnsiTheme="minorHAnsi"/>
        </w:rPr>
      </w:pPr>
    </w:p>
    <w:p w14:paraId="6DB4DA5B" w14:textId="274B994C" w:rsidR="0092539A" w:rsidRPr="003A5AA8" w:rsidRDefault="001A579A" w:rsidP="00A34C1B">
      <w:pPr>
        <w:jc w:val="both"/>
        <w:rPr>
          <w:rFonts w:asciiTheme="minorHAnsi" w:hAnsiTheme="minorHAnsi"/>
          <w:i/>
        </w:rPr>
      </w:pPr>
      <w:r w:rsidRPr="003A5AA8">
        <w:rPr>
          <w:rFonts w:asciiTheme="minorHAnsi" w:hAnsiTheme="minorHAnsi"/>
        </w:rPr>
        <w:t>Kromě toho je na trhu dostupná sekundární kapacita. Její časté využívání dokládá fakt, že v posledních letech byly na žádost ukladatelů provedeny převody a přenosy kapacity na jiný subjekt zúčtování v objemu přes 100 mil. m</w:t>
      </w:r>
      <w:r w:rsidRPr="003A5AA8">
        <w:rPr>
          <w:rFonts w:asciiTheme="minorHAnsi" w:hAnsiTheme="minorHAnsi"/>
          <w:vertAlign w:val="superscript"/>
        </w:rPr>
        <w:t>3</w:t>
      </w:r>
      <w:r w:rsidRPr="003A5AA8">
        <w:rPr>
          <w:rFonts w:asciiTheme="minorHAnsi" w:hAnsiTheme="minorHAnsi"/>
        </w:rPr>
        <w:t xml:space="preserve"> ročně. Převody a přenosy probíhaly paralelně k prodeji primární kapacity, lze proto předpokládat, že cena za sekundární cenu je konkurenceschopná vůči ceně primární kapacity. </w:t>
      </w:r>
    </w:p>
    <w:sectPr w:rsidR="0092539A" w:rsidRPr="003A5AA8">
      <w:footerReference w:type="default" r:id="rId1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89F67A4" w14:textId="77777777" w:rsidR="0044361B" w:rsidRDefault="0044361B" w:rsidP="0079123E">
      <w:r>
        <w:separator/>
      </w:r>
    </w:p>
  </w:endnote>
  <w:endnote w:type="continuationSeparator" w:id="0">
    <w:p w14:paraId="4EF48222" w14:textId="77777777" w:rsidR="0044361B" w:rsidRDefault="0044361B" w:rsidP="007912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43"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EYInterstate Light">
    <w:altName w:val="Times New Roman"/>
    <w:charset w:val="EE"/>
    <w:family w:val="auto"/>
    <w:pitch w:val="variable"/>
    <w:sig w:usb0="00000001" w:usb1="5000206A" w:usb2="00000000" w:usb3="00000000" w:csb0="0000009F" w:csb1="00000000"/>
  </w:font>
  <w:font w:name="Arial">
    <w:panose1 w:val="020B0604020202020204"/>
    <w:charset w:val="EE"/>
    <w:family w:val="swiss"/>
    <w:pitch w:val="variable"/>
    <w:sig w:usb0="E0002E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Calibri Light">
    <w:panose1 w:val="020F0302020204030204"/>
    <w:charset w:val="EE"/>
    <w:family w:val="swiss"/>
    <w:pitch w:val="variable"/>
    <w:sig w:usb0="A00002EF" w:usb1="4000207B" w:usb2="00000000" w:usb3="00000000" w:csb0="0000019F" w:csb1="00000000"/>
  </w:font>
  <w:font w:name="Segoe UI">
    <w:panose1 w:val="020B0502040204020203"/>
    <w:charset w:val="EE"/>
    <w:family w:val="swiss"/>
    <w:pitch w:val="variable"/>
    <w:sig w:usb0="E4002EFF" w:usb1="C000E47F" w:usb2="00000009" w:usb3="00000000" w:csb0="000001FF" w:csb1="00000000"/>
  </w:font>
  <w:font w:name="EYInterstate Regular">
    <w:altName w:val="Corbel"/>
    <w:charset w:val="00"/>
    <w:family w:val="auto"/>
    <w:pitch w:val="variable"/>
    <w:sig w:usb0="00000001" w:usb1="5000206A"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9794494"/>
      <w:docPartObj>
        <w:docPartGallery w:val="Page Numbers (Bottom of Page)"/>
        <w:docPartUnique/>
      </w:docPartObj>
    </w:sdtPr>
    <w:sdtEndPr>
      <w:rPr>
        <w:noProof/>
      </w:rPr>
    </w:sdtEndPr>
    <w:sdtContent>
      <w:p w14:paraId="5DECF246" w14:textId="25D39E5E" w:rsidR="001A579A" w:rsidRDefault="001A579A">
        <w:pPr>
          <w:pStyle w:val="Zpat"/>
          <w:jc w:val="center"/>
        </w:pPr>
        <w:r>
          <w:fldChar w:fldCharType="begin"/>
        </w:r>
        <w:r>
          <w:instrText xml:space="preserve"> PAGE   \* MERGEFORMAT </w:instrText>
        </w:r>
        <w:r>
          <w:fldChar w:fldCharType="separate"/>
        </w:r>
        <w:r w:rsidR="000620C9">
          <w:rPr>
            <w:noProof/>
          </w:rPr>
          <w:t>1</w:t>
        </w:r>
        <w:r>
          <w:rPr>
            <w:noProof/>
          </w:rPr>
          <w:fldChar w:fldCharType="end"/>
        </w:r>
      </w:p>
    </w:sdtContent>
  </w:sdt>
  <w:p w14:paraId="73EECA81" w14:textId="77777777" w:rsidR="001A579A" w:rsidRDefault="001A579A">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53A579B" w14:textId="77777777" w:rsidR="0044361B" w:rsidRDefault="0044361B" w:rsidP="0079123E">
      <w:r>
        <w:separator/>
      </w:r>
    </w:p>
  </w:footnote>
  <w:footnote w:type="continuationSeparator" w:id="0">
    <w:p w14:paraId="4CA16343" w14:textId="77777777" w:rsidR="0044361B" w:rsidRDefault="0044361B" w:rsidP="0079123E">
      <w:r>
        <w:continuationSeparator/>
      </w:r>
    </w:p>
  </w:footnote>
  <w:footnote w:id="1">
    <w:p w14:paraId="2CE939EC" w14:textId="77777777" w:rsidR="001A579A" w:rsidRPr="00443E33" w:rsidRDefault="001A579A" w:rsidP="009076D7">
      <w:pPr>
        <w:pStyle w:val="Bezmezer"/>
        <w:jc w:val="left"/>
        <w:rPr>
          <w:sz w:val="20"/>
          <w:szCs w:val="20"/>
        </w:rPr>
      </w:pPr>
      <w:r>
        <w:rPr>
          <w:rStyle w:val="Znakapoznpodarou"/>
        </w:rPr>
        <w:footnoteRef/>
      </w:r>
      <w:r>
        <w:t xml:space="preserve"> </w:t>
      </w:r>
      <w:r w:rsidRPr="00443E33">
        <w:rPr>
          <w:sz w:val="20"/>
          <w:szCs w:val="20"/>
        </w:rPr>
        <w:t>Výpočet na základě sezónního produktu, tzn. 6 měsíců vtláčení a 6 měsíců těžba (zjednodušeno) dle cenového rozhodnutí pro rok 2017:</w:t>
      </w:r>
      <w:r w:rsidRPr="00443E33">
        <w:rPr>
          <w:sz w:val="20"/>
          <w:szCs w:val="20"/>
        </w:rPr>
        <w:br/>
      </w:r>
      <w:r>
        <w:rPr>
          <w:sz w:val="20"/>
          <w:szCs w:val="20"/>
        </w:rPr>
        <w:t xml:space="preserve">   </w:t>
      </w:r>
      <w:r w:rsidRPr="00443E33">
        <w:rPr>
          <w:sz w:val="20"/>
          <w:szCs w:val="20"/>
        </w:rPr>
        <w:t>přeprava do zásobníku: (436,27*0,157*6^0,81):182,5 = 1,60 Kč/MWh</w:t>
      </w:r>
      <w:r w:rsidRPr="00443E33">
        <w:rPr>
          <w:sz w:val="20"/>
          <w:szCs w:val="20"/>
        </w:rPr>
        <w:br/>
      </w:r>
      <w:r>
        <w:rPr>
          <w:sz w:val="20"/>
          <w:szCs w:val="20"/>
        </w:rPr>
        <w:t xml:space="preserve">   </w:t>
      </w:r>
      <w:r w:rsidRPr="00443E33">
        <w:rPr>
          <w:sz w:val="20"/>
          <w:szCs w:val="20"/>
        </w:rPr>
        <w:t>přeprava ze zásobníku: (94,16*0,157*6^0,81)</w:t>
      </w:r>
      <w:r>
        <w:rPr>
          <w:sz w:val="20"/>
          <w:szCs w:val="20"/>
        </w:rPr>
        <w:t>:182,5</w:t>
      </w:r>
      <w:r w:rsidRPr="00443E33">
        <w:rPr>
          <w:sz w:val="20"/>
          <w:szCs w:val="20"/>
        </w:rPr>
        <w:t xml:space="preserve"> + 0,23 = 0,58 Kč/MWh</w:t>
      </w:r>
      <w:r w:rsidRPr="00443E33">
        <w:rPr>
          <w:sz w:val="20"/>
          <w:szCs w:val="20"/>
        </w:rPr>
        <w:br/>
      </w:r>
      <w:r>
        <w:rPr>
          <w:sz w:val="20"/>
          <w:szCs w:val="20"/>
        </w:rPr>
        <w:t xml:space="preserve">   </w:t>
      </w:r>
      <w:r w:rsidRPr="00443E33">
        <w:rPr>
          <w:sz w:val="20"/>
          <w:szCs w:val="20"/>
        </w:rPr>
        <w:t>celkem: 2,18 Kč/MWh = 0,08 EUR/MWh (1 EUR= 27 Kč)</w:t>
      </w:r>
      <w:r w:rsidRPr="00443E33">
        <w:rPr>
          <w:sz w:val="20"/>
          <w:szCs w:val="20"/>
        </w:rPr>
        <w:br/>
      </w:r>
      <w:r>
        <w:rPr>
          <w:sz w:val="20"/>
          <w:szCs w:val="20"/>
        </w:rPr>
        <w:t xml:space="preserve">   </w:t>
      </w:r>
      <w:r w:rsidRPr="00443E33">
        <w:rPr>
          <w:sz w:val="20"/>
          <w:szCs w:val="20"/>
        </w:rPr>
        <w:t>počítáno při ceně roční skladovací kapacity 53 Kč/MWh</w:t>
      </w:r>
    </w:p>
  </w:footnote>
  <w:footnote w:id="2">
    <w:p w14:paraId="0A5FEAC7" w14:textId="77777777" w:rsidR="001A579A" w:rsidRDefault="001A579A" w:rsidP="009076D7">
      <w:pPr>
        <w:pStyle w:val="Textpoznpodarou"/>
      </w:pPr>
      <w:r>
        <w:rPr>
          <w:rStyle w:val="Znakapoznpodarou"/>
        </w:rPr>
        <w:footnoteRef/>
      </w:r>
      <w:r>
        <w:t xml:space="preserve"> Vypočet na základě ceny za denní přepravní kapacitu dle cenového rozhodnutí pro rok 2017: </w:t>
      </w:r>
    </w:p>
    <w:p w14:paraId="1CBE982E" w14:textId="77777777" w:rsidR="001A579A" w:rsidRDefault="001A579A" w:rsidP="009076D7">
      <w:pPr>
        <w:pStyle w:val="Textpoznpodarou"/>
      </w:pPr>
      <w:r>
        <w:t xml:space="preserve">   </w:t>
      </w:r>
      <w:r w:rsidRPr="00443E33">
        <w:t xml:space="preserve">přeprava do zásobníku: (94,16*0,01*1^0,85) + 0,23 = </w:t>
      </w:r>
      <w:r>
        <w:t>1,17</w:t>
      </w:r>
      <w:r w:rsidRPr="00443E33">
        <w:t xml:space="preserve"> Kč/MWh  </w:t>
      </w:r>
      <w:r>
        <w:br/>
        <w:t xml:space="preserve">   </w:t>
      </w:r>
      <w:r w:rsidRPr="00443E33">
        <w:t>přeprava ze zásobníku: 436,27*0,01*1^0,85=</w:t>
      </w:r>
      <w:r>
        <w:t xml:space="preserve"> 4,36</w:t>
      </w:r>
      <w:r w:rsidRPr="00443E33">
        <w:t xml:space="preserve"> Kč/MWh</w:t>
      </w:r>
      <w:r>
        <w:br/>
        <w:t xml:space="preserve">   </w:t>
      </w:r>
      <w:r w:rsidRPr="00443E33">
        <w:t xml:space="preserve">celkem: </w:t>
      </w:r>
      <w:r>
        <w:t>1,17</w:t>
      </w:r>
      <w:r w:rsidRPr="00443E33">
        <w:t xml:space="preserve"> + </w:t>
      </w:r>
      <w:r>
        <w:t>4,36</w:t>
      </w:r>
      <w:r w:rsidRPr="00443E33">
        <w:t xml:space="preserve"> = </w:t>
      </w:r>
      <w:r>
        <w:t>5,53</w:t>
      </w:r>
      <w:r w:rsidRPr="00443E33">
        <w:t xml:space="preserve"> = </w:t>
      </w:r>
      <w:r>
        <w:t>0,20</w:t>
      </w:r>
      <w:r w:rsidRPr="00700CCA">
        <w:t xml:space="preserve"> EUR/MWh (1 EUR = 27 Kč)</w:t>
      </w:r>
      <w:r>
        <w:br/>
        <w:t xml:space="preserve">   počítáno při ceně roční skladovací kapacity 53 Kč/MWh</w:t>
      </w:r>
    </w:p>
  </w:footnote>
  <w:footnote w:id="3">
    <w:p w14:paraId="30A7C857" w14:textId="77777777" w:rsidR="00F21E67" w:rsidRPr="000A7082" w:rsidRDefault="00F21E67" w:rsidP="00F21E67">
      <w:pPr>
        <w:pStyle w:val="Bezmezer"/>
        <w:jc w:val="left"/>
        <w:rPr>
          <w:sz w:val="20"/>
          <w:szCs w:val="20"/>
        </w:rPr>
      </w:pPr>
      <w:r>
        <w:rPr>
          <w:rStyle w:val="Znakapoznpodarou"/>
        </w:rPr>
        <w:footnoteRef/>
      </w:r>
      <w:r>
        <w:t xml:space="preserve"> </w:t>
      </w:r>
      <w:r w:rsidRPr="000A7082">
        <w:rPr>
          <w:sz w:val="20"/>
          <w:szCs w:val="20"/>
        </w:rPr>
        <w:t xml:space="preserve">Vypočet na základě ceny za denní přepravní kapacitu dle cenového rozhodnutí pro rok 2017: </w:t>
      </w:r>
    </w:p>
    <w:p w14:paraId="2FBD6E26" w14:textId="77777777" w:rsidR="00F21E67" w:rsidRPr="00443E33" w:rsidRDefault="00F21E67" w:rsidP="00F21E67">
      <w:pPr>
        <w:pStyle w:val="Bezmezer"/>
        <w:jc w:val="left"/>
        <w:rPr>
          <w:sz w:val="20"/>
          <w:szCs w:val="20"/>
        </w:rPr>
      </w:pPr>
      <w:r>
        <w:rPr>
          <w:sz w:val="20"/>
          <w:szCs w:val="20"/>
        </w:rPr>
        <w:t xml:space="preserve">   </w:t>
      </w:r>
      <w:r w:rsidRPr="00443E33">
        <w:rPr>
          <w:sz w:val="20"/>
          <w:szCs w:val="20"/>
        </w:rPr>
        <w:t xml:space="preserve">přeprava do zásobníku: (94,16*0,01*1^0,85) + 0,23 = 1,1716 Kč/MWh  </w:t>
      </w:r>
      <w:r>
        <w:rPr>
          <w:sz w:val="20"/>
          <w:szCs w:val="20"/>
        </w:rPr>
        <w:br/>
        <w:t xml:space="preserve">   </w:t>
      </w:r>
      <w:r w:rsidRPr="00443E33">
        <w:rPr>
          <w:sz w:val="20"/>
          <w:szCs w:val="20"/>
        </w:rPr>
        <w:t>přeprava ze zásobníku: 436,27*0,01*1^0,85=</w:t>
      </w:r>
      <w:r>
        <w:rPr>
          <w:sz w:val="20"/>
          <w:szCs w:val="20"/>
        </w:rPr>
        <w:t xml:space="preserve"> </w:t>
      </w:r>
      <w:r w:rsidRPr="00443E33">
        <w:rPr>
          <w:sz w:val="20"/>
          <w:szCs w:val="20"/>
        </w:rPr>
        <w:t>4,3627 Kč/MWh</w:t>
      </w:r>
      <w:r>
        <w:rPr>
          <w:sz w:val="20"/>
          <w:szCs w:val="20"/>
        </w:rPr>
        <w:br/>
        <w:t xml:space="preserve">   </w:t>
      </w:r>
      <w:r w:rsidRPr="00443E33">
        <w:rPr>
          <w:sz w:val="20"/>
          <w:szCs w:val="20"/>
        </w:rPr>
        <w:t xml:space="preserve">celkem: 1,1716 + 4,3627 = 5,5343 = </w:t>
      </w:r>
      <w:r w:rsidRPr="00700CCA">
        <w:rPr>
          <w:sz w:val="20"/>
          <w:szCs w:val="20"/>
        </w:rPr>
        <w:t>0,204974 EUR/MWh (1 EUR = 27 Kč)</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7068EC"/>
    <w:multiLevelType w:val="hybridMultilevel"/>
    <w:tmpl w:val="FEC8CD00"/>
    <w:lvl w:ilvl="0" w:tplc="04050001">
      <w:start w:val="1"/>
      <w:numFmt w:val="bullet"/>
      <w:lvlText w:val=""/>
      <w:lvlJc w:val="left"/>
      <w:pPr>
        <w:ind w:left="644" w:hanging="360"/>
      </w:pPr>
      <w:rPr>
        <w:rFonts w:ascii="Symbol" w:hAnsi="Symbol" w:hint="default"/>
      </w:rPr>
    </w:lvl>
    <w:lvl w:ilvl="1" w:tplc="04050003" w:tentative="1">
      <w:start w:val="1"/>
      <w:numFmt w:val="bullet"/>
      <w:lvlText w:val="o"/>
      <w:lvlJc w:val="left"/>
      <w:pPr>
        <w:ind w:left="1364" w:hanging="360"/>
      </w:pPr>
      <w:rPr>
        <w:rFonts w:ascii="Courier New" w:hAnsi="Courier New" w:cs="Courier New" w:hint="default"/>
      </w:rPr>
    </w:lvl>
    <w:lvl w:ilvl="2" w:tplc="04050005" w:tentative="1">
      <w:start w:val="1"/>
      <w:numFmt w:val="bullet"/>
      <w:lvlText w:val=""/>
      <w:lvlJc w:val="left"/>
      <w:pPr>
        <w:ind w:left="2084" w:hanging="360"/>
      </w:pPr>
      <w:rPr>
        <w:rFonts w:ascii="Wingdings" w:hAnsi="Wingdings" w:hint="default"/>
      </w:rPr>
    </w:lvl>
    <w:lvl w:ilvl="3" w:tplc="04050001" w:tentative="1">
      <w:start w:val="1"/>
      <w:numFmt w:val="bullet"/>
      <w:lvlText w:val=""/>
      <w:lvlJc w:val="left"/>
      <w:pPr>
        <w:ind w:left="2804" w:hanging="360"/>
      </w:pPr>
      <w:rPr>
        <w:rFonts w:ascii="Symbol" w:hAnsi="Symbol" w:hint="default"/>
      </w:rPr>
    </w:lvl>
    <w:lvl w:ilvl="4" w:tplc="04050003" w:tentative="1">
      <w:start w:val="1"/>
      <w:numFmt w:val="bullet"/>
      <w:lvlText w:val="o"/>
      <w:lvlJc w:val="left"/>
      <w:pPr>
        <w:ind w:left="3524" w:hanging="360"/>
      </w:pPr>
      <w:rPr>
        <w:rFonts w:ascii="Courier New" w:hAnsi="Courier New" w:cs="Courier New" w:hint="default"/>
      </w:rPr>
    </w:lvl>
    <w:lvl w:ilvl="5" w:tplc="04050005" w:tentative="1">
      <w:start w:val="1"/>
      <w:numFmt w:val="bullet"/>
      <w:lvlText w:val=""/>
      <w:lvlJc w:val="left"/>
      <w:pPr>
        <w:ind w:left="4244" w:hanging="360"/>
      </w:pPr>
      <w:rPr>
        <w:rFonts w:ascii="Wingdings" w:hAnsi="Wingdings" w:hint="default"/>
      </w:rPr>
    </w:lvl>
    <w:lvl w:ilvl="6" w:tplc="04050001" w:tentative="1">
      <w:start w:val="1"/>
      <w:numFmt w:val="bullet"/>
      <w:lvlText w:val=""/>
      <w:lvlJc w:val="left"/>
      <w:pPr>
        <w:ind w:left="4964" w:hanging="360"/>
      </w:pPr>
      <w:rPr>
        <w:rFonts w:ascii="Symbol" w:hAnsi="Symbol" w:hint="default"/>
      </w:rPr>
    </w:lvl>
    <w:lvl w:ilvl="7" w:tplc="04050003" w:tentative="1">
      <w:start w:val="1"/>
      <w:numFmt w:val="bullet"/>
      <w:lvlText w:val="o"/>
      <w:lvlJc w:val="left"/>
      <w:pPr>
        <w:ind w:left="5684" w:hanging="360"/>
      </w:pPr>
      <w:rPr>
        <w:rFonts w:ascii="Courier New" w:hAnsi="Courier New" w:cs="Courier New" w:hint="default"/>
      </w:rPr>
    </w:lvl>
    <w:lvl w:ilvl="8" w:tplc="04050005" w:tentative="1">
      <w:start w:val="1"/>
      <w:numFmt w:val="bullet"/>
      <w:lvlText w:val=""/>
      <w:lvlJc w:val="left"/>
      <w:pPr>
        <w:ind w:left="6404" w:hanging="360"/>
      </w:pPr>
      <w:rPr>
        <w:rFonts w:ascii="Wingdings" w:hAnsi="Wingdings" w:hint="default"/>
      </w:rPr>
    </w:lvl>
  </w:abstractNum>
  <w:abstractNum w:abstractNumId="1">
    <w:nsid w:val="015709BE"/>
    <w:multiLevelType w:val="hybridMultilevel"/>
    <w:tmpl w:val="6980B8A6"/>
    <w:lvl w:ilvl="0" w:tplc="51C68554">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
    <w:nsid w:val="05C514A8"/>
    <w:multiLevelType w:val="multilevel"/>
    <w:tmpl w:val="100022C2"/>
    <w:lvl w:ilvl="0">
      <w:start w:val="1"/>
      <w:numFmt w:val="decimal"/>
      <w:lvlRestart w:val="0"/>
      <w:pStyle w:val="EYHeading1"/>
      <w:lvlText w:val="%1."/>
      <w:lvlJc w:val="left"/>
      <w:pPr>
        <w:tabs>
          <w:tab w:val="num" w:pos="0"/>
        </w:tabs>
        <w:ind w:left="0" w:hanging="850"/>
      </w:pPr>
      <w:rPr>
        <w:rFonts w:ascii="EYInterstate Light" w:hAnsi="EYInterstate Light" w:hint="default"/>
        <w:b/>
        <w:i w:val="0"/>
        <w:color w:val="7F7E82"/>
        <w:sz w:val="32"/>
      </w:rPr>
    </w:lvl>
    <w:lvl w:ilvl="1">
      <w:start w:val="1"/>
      <w:numFmt w:val="decimal"/>
      <w:pStyle w:val="EYHeading2"/>
      <w:lvlText w:val="%1.%2"/>
      <w:lvlJc w:val="left"/>
      <w:pPr>
        <w:tabs>
          <w:tab w:val="num" w:pos="0"/>
        </w:tabs>
        <w:ind w:left="0" w:hanging="850"/>
      </w:pPr>
      <w:rPr>
        <w:rFonts w:ascii="EYInterstate Light" w:hAnsi="EYInterstate Light" w:hint="default"/>
        <w:b/>
        <w:i w:val="0"/>
        <w:color w:val="000000"/>
        <w:sz w:val="28"/>
      </w:rPr>
    </w:lvl>
    <w:lvl w:ilvl="2">
      <w:start w:val="1"/>
      <w:numFmt w:val="decimal"/>
      <w:pStyle w:val="EYHeading3"/>
      <w:lvlText w:val="%1.%2.%3"/>
      <w:lvlJc w:val="left"/>
      <w:pPr>
        <w:tabs>
          <w:tab w:val="num" w:pos="0"/>
        </w:tabs>
        <w:ind w:left="0" w:hanging="850"/>
      </w:pPr>
      <w:rPr>
        <w:rFonts w:ascii="EYInterstate Light" w:hAnsi="EYInterstate Light" w:hint="default"/>
        <w:b/>
        <w:i w:val="0"/>
        <w:color w:val="000000"/>
        <w:sz w:val="26"/>
      </w:rPr>
    </w:lvl>
    <w:lvl w:ilvl="3">
      <w:start w:val="1"/>
      <w:numFmt w:val="decimal"/>
      <w:pStyle w:val="EYHeading4"/>
      <w:lvlText w:val="%1.%2.%3.%4"/>
      <w:lvlJc w:val="left"/>
      <w:pPr>
        <w:tabs>
          <w:tab w:val="num" w:pos="0"/>
        </w:tabs>
        <w:ind w:left="0" w:hanging="850"/>
      </w:pPr>
      <w:rPr>
        <w:rFonts w:ascii="EYInterstate Light" w:hAnsi="EYInterstate Light" w:hint="default"/>
        <w:b/>
        <w:i w:val="0"/>
        <w:color w:val="000000"/>
        <w:sz w:val="22"/>
      </w:rPr>
    </w:lvl>
    <w:lvl w:ilvl="4">
      <w:start w:val="1"/>
      <w:numFmt w:val="none"/>
      <w:lvlText w:val=""/>
      <w:lvlJc w:val="left"/>
      <w:pPr>
        <w:tabs>
          <w:tab w:val="num" w:pos="0"/>
        </w:tabs>
        <w:ind w:left="0" w:firstLine="0"/>
      </w:pPr>
      <w:rPr>
        <w:rFonts w:hint="default"/>
      </w:rPr>
    </w:lvl>
    <w:lvl w:ilvl="5">
      <w:start w:val="1"/>
      <w:numFmt w:val="none"/>
      <w:lvlText w:val=""/>
      <w:lvlJc w:val="left"/>
      <w:pPr>
        <w:tabs>
          <w:tab w:val="num" w:pos="0"/>
        </w:tabs>
        <w:ind w:left="0" w:firstLine="0"/>
      </w:pPr>
      <w:rPr>
        <w:rFonts w:hint="default"/>
      </w:rPr>
    </w:lvl>
    <w:lvl w:ilvl="6">
      <w:start w:val="1"/>
      <w:numFmt w:val="none"/>
      <w:lvlText w:val=""/>
      <w:lvlJc w:val="left"/>
      <w:pPr>
        <w:tabs>
          <w:tab w:val="num" w:pos="0"/>
        </w:tabs>
        <w:ind w:left="0" w:firstLine="0"/>
      </w:pPr>
      <w:rPr>
        <w:rFonts w:hint="default"/>
      </w:rPr>
    </w:lvl>
    <w:lvl w:ilvl="7">
      <w:start w:val="1"/>
      <w:numFmt w:val="none"/>
      <w:lvlText w:val=""/>
      <w:lvlJc w:val="left"/>
      <w:pPr>
        <w:tabs>
          <w:tab w:val="num" w:pos="0"/>
        </w:tabs>
        <w:ind w:left="0" w:firstLine="0"/>
      </w:pPr>
      <w:rPr>
        <w:rFonts w:hint="default"/>
      </w:rPr>
    </w:lvl>
    <w:lvl w:ilvl="8">
      <w:start w:val="1"/>
      <w:numFmt w:val="none"/>
      <w:lvlText w:val=""/>
      <w:lvlJc w:val="left"/>
      <w:pPr>
        <w:tabs>
          <w:tab w:val="num" w:pos="0"/>
        </w:tabs>
        <w:ind w:left="0" w:firstLine="0"/>
      </w:pPr>
      <w:rPr>
        <w:rFonts w:hint="default"/>
      </w:rPr>
    </w:lvl>
  </w:abstractNum>
  <w:abstractNum w:abstractNumId="3">
    <w:nsid w:val="06046F96"/>
    <w:multiLevelType w:val="hybridMultilevel"/>
    <w:tmpl w:val="340C3EF0"/>
    <w:lvl w:ilvl="0" w:tplc="04050001">
      <w:start w:val="1"/>
      <w:numFmt w:val="bullet"/>
      <w:lvlText w:val=""/>
      <w:lvlJc w:val="left"/>
      <w:pPr>
        <w:ind w:left="1004" w:hanging="360"/>
      </w:pPr>
      <w:rPr>
        <w:rFonts w:ascii="Symbol" w:hAnsi="Symbol" w:hint="default"/>
      </w:rPr>
    </w:lvl>
    <w:lvl w:ilvl="1" w:tplc="04050003" w:tentative="1">
      <w:start w:val="1"/>
      <w:numFmt w:val="bullet"/>
      <w:lvlText w:val="o"/>
      <w:lvlJc w:val="left"/>
      <w:pPr>
        <w:ind w:left="1724" w:hanging="360"/>
      </w:pPr>
      <w:rPr>
        <w:rFonts w:ascii="Courier New" w:hAnsi="Courier New" w:cs="Courier New" w:hint="default"/>
      </w:rPr>
    </w:lvl>
    <w:lvl w:ilvl="2" w:tplc="04050005" w:tentative="1">
      <w:start w:val="1"/>
      <w:numFmt w:val="bullet"/>
      <w:lvlText w:val=""/>
      <w:lvlJc w:val="left"/>
      <w:pPr>
        <w:ind w:left="2444" w:hanging="360"/>
      </w:pPr>
      <w:rPr>
        <w:rFonts w:ascii="Wingdings" w:hAnsi="Wingdings" w:hint="default"/>
      </w:rPr>
    </w:lvl>
    <w:lvl w:ilvl="3" w:tplc="04050001" w:tentative="1">
      <w:start w:val="1"/>
      <w:numFmt w:val="bullet"/>
      <w:lvlText w:val=""/>
      <w:lvlJc w:val="left"/>
      <w:pPr>
        <w:ind w:left="3164" w:hanging="360"/>
      </w:pPr>
      <w:rPr>
        <w:rFonts w:ascii="Symbol" w:hAnsi="Symbol" w:hint="default"/>
      </w:rPr>
    </w:lvl>
    <w:lvl w:ilvl="4" w:tplc="04050003" w:tentative="1">
      <w:start w:val="1"/>
      <w:numFmt w:val="bullet"/>
      <w:lvlText w:val="o"/>
      <w:lvlJc w:val="left"/>
      <w:pPr>
        <w:ind w:left="3884" w:hanging="360"/>
      </w:pPr>
      <w:rPr>
        <w:rFonts w:ascii="Courier New" w:hAnsi="Courier New" w:cs="Courier New" w:hint="default"/>
      </w:rPr>
    </w:lvl>
    <w:lvl w:ilvl="5" w:tplc="04050005" w:tentative="1">
      <w:start w:val="1"/>
      <w:numFmt w:val="bullet"/>
      <w:lvlText w:val=""/>
      <w:lvlJc w:val="left"/>
      <w:pPr>
        <w:ind w:left="4604" w:hanging="360"/>
      </w:pPr>
      <w:rPr>
        <w:rFonts w:ascii="Wingdings" w:hAnsi="Wingdings" w:hint="default"/>
      </w:rPr>
    </w:lvl>
    <w:lvl w:ilvl="6" w:tplc="04050001" w:tentative="1">
      <w:start w:val="1"/>
      <w:numFmt w:val="bullet"/>
      <w:lvlText w:val=""/>
      <w:lvlJc w:val="left"/>
      <w:pPr>
        <w:ind w:left="5324" w:hanging="360"/>
      </w:pPr>
      <w:rPr>
        <w:rFonts w:ascii="Symbol" w:hAnsi="Symbol" w:hint="default"/>
      </w:rPr>
    </w:lvl>
    <w:lvl w:ilvl="7" w:tplc="04050003" w:tentative="1">
      <w:start w:val="1"/>
      <w:numFmt w:val="bullet"/>
      <w:lvlText w:val="o"/>
      <w:lvlJc w:val="left"/>
      <w:pPr>
        <w:ind w:left="6044" w:hanging="360"/>
      </w:pPr>
      <w:rPr>
        <w:rFonts w:ascii="Courier New" w:hAnsi="Courier New" w:cs="Courier New" w:hint="default"/>
      </w:rPr>
    </w:lvl>
    <w:lvl w:ilvl="8" w:tplc="04050005" w:tentative="1">
      <w:start w:val="1"/>
      <w:numFmt w:val="bullet"/>
      <w:lvlText w:val=""/>
      <w:lvlJc w:val="left"/>
      <w:pPr>
        <w:ind w:left="6764" w:hanging="360"/>
      </w:pPr>
      <w:rPr>
        <w:rFonts w:ascii="Wingdings" w:hAnsi="Wingdings" w:hint="default"/>
      </w:rPr>
    </w:lvl>
  </w:abstractNum>
  <w:abstractNum w:abstractNumId="4">
    <w:nsid w:val="12EE5DA3"/>
    <w:multiLevelType w:val="hybridMultilevel"/>
    <w:tmpl w:val="19E6E2FC"/>
    <w:lvl w:ilvl="0" w:tplc="04050017">
      <w:start w:val="1"/>
      <w:numFmt w:val="lowerLetter"/>
      <w:lvlText w:val="%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nsid w:val="13A60E19"/>
    <w:multiLevelType w:val="hybridMultilevel"/>
    <w:tmpl w:val="EC60C0C2"/>
    <w:lvl w:ilvl="0" w:tplc="0B70169E">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6">
    <w:nsid w:val="166D02A9"/>
    <w:multiLevelType w:val="hybridMultilevel"/>
    <w:tmpl w:val="3A8A0B76"/>
    <w:lvl w:ilvl="0" w:tplc="04050019">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nsid w:val="172D5E8E"/>
    <w:multiLevelType w:val="hybridMultilevel"/>
    <w:tmpl w:val="7F820A84"/>
    <w:lvl w:ilvl="0" w:tplc="3F24A4D8">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8">
    <w:nsid w:val="19F50D5B"/>
    <w:multiLevelType w:val="hybridMultilevel"/>
    <w:tmpl w:val="30327090"/>
    <w:lvl w:ilvl="0" w:tplc="04050017">
      <w:start w:val="1"/>
      <w:numFmt w:val="lowerLetter"/>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nsid w:val="1C3E3BC5"/>
    <w:multiLevelType w:val="hybridMultilevel"/>
    <w:tmpl w:val="2A9AA2CE"/>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
    <w:nsid w:val="281C7B95"/>
    <w:multiLevelType w:val="hybridMultilevel"/>
    <w:tmpl w:val="AFBE84B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nsid w:val="2A01315B"/>
    <w:multiLevelType w:val="hybridMultilevel"/>
    <w:tmpl w:val="6CEAEB2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2">
    <w:nsid w:val="2EB759A7"/>
    <w:multiLevelType w:val="hybridMultilevel"/>
    <w:tmpl w:val="4DD08AF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3">
    <w:nsid w:val="32D841F1"/>
    <w:multiLevelType w:val="hybridMultilevel"/>
    <w:tmpl w:val="8BDA8EA6"/>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nsid w:val="3966443B"/>
    <w:multiLevelType w:val="hybridMultilevel"/>
    <w:tmpl w:val="7DCEE9F2"/>
    <w:lvl w:ilvl="0" w:tplc="0405000F">
      <w:start w:val="1"/>
      <w:numFmt w:val="decimal"/>
      <w:lvlText w:val="%1."/>
      <w:lvlJc w:val="left"/>
      <w:pPr>
        <w:ind w:left="720" w:hanging="360"/>
      </w:pPr>
      <w:rPr>
        <w:rFonts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15">
    <w:nsid w:val="3CAD7C82"/>
    <w:multiLevelType w:val="multilevel"/>
    <w:tmpl w:val="6BDE909C"/>
    <w:lvl w:ilvl="0">
      <w:start w:val="1"/>
      <w:numFmt w:val="bullet"/>
      <w:pStyle w:val="EYBulletedList1"/>
      <w:lvlText w:val="•"/>
      <w:lvlJc w:val="left"/>
      <w:pPr>
        <w:tabs>
          <w:tab w:val="num" w:pos="288"/>
        </w:tabs>
        <w:ind w:left="288" w:hanging="288"/>
      </w:pPr>
      <w:rPr>
        <w:rFonts w:ascii="EYInterstate Light" w:hAnsi="EYInterstate Light" w:hint="default"/>
        <w:b w:val="0"/>
        <w:i w:val="0"/>
        <w:color w:val="FFE600"/>
        <w:sz w:val="20"/>
        <w:szCs w:val="24"/>
      </w:rPr>
    </w:lvl>
    <w:lvl w:ilvl="1">
      <w:start w:val="1"/>
      <w:numFmt w:val="bullet"/>
      <w:pStyle w:val="EYBulletedList2"/>
      <w:lvlText w:val="•"/>
      <w:lvlJc w:val="left"/>
      <w:pPr>
        <w:tabs>
          <w:tab w:val="num" w:pos="576"/>
        </w:tabs>
        <w:ind w:left="576" w:hanging="288"/>
      </w:pPr>
      <w:rPr>
        <w:rFonts w:ascii="EYInterstate Light" w:hAnsi="EYInterstate Light" w:hint="default"/>
        <w:b w:val="0"/>
        <w:i w:val="0"/>
        <w:color w:val="FFE600"/>
        <w:sz w:val="20"/>
        <w:szCs w:val="24"/>
      </w:rPr>
    </w:lvl>
    <w:lvl w:ilvl="2">
      <w:start w:val="1"/>
      <w:numFmt w:val="bullet"/>
      <w:pStyle w:val="EYBulletedList3"/>
      <w:lvlText w:val="•"/>
      <w:lvlJc w:val="left"/>
      <w:pPr>
        <w:tabs>
          <w:tab w:val="num" w:pos="864"/>
        </w:tabs>
        <w:ind w:left="864" w:hanging="288"/>
      </w:pPr>
      <w:rPr>
        <w:rFonts w:ascii="EYInterstate Light" w:hAnsi="EYInterstate Light" w:hint="default"/>
        <w:b w:val="0"/>
        <w:i w:val="0"/>
        <w:color w:val="FFE600"/>
        <w:sz w:val="20"/>
        <w:szCs w:val="24"/>
      </w:rPr>
    </w:lvl>
    <w:lvl w:ilvl="3">
      <w:start w:val="1"/>
      <w:numFmt w:val="bullet"/>
      <w:lvlText w:val="►"/>
      <w:lvlJc w:val="left"/>
      <w:pPr>
        <w:tabs>
          <w:tab w:val="num" w:pos="1289"/>
        </w:tabs>
        <w:ind w:left="1152" w:hanging="288"/>
      </w:pPr>
      <w:rPr>
        <w:rFonts w:ascii="Arial" w:hAnsi="Arial" w:cs="Times New Roman" w:hint="default"/>
        <w:color w:val="auto"/>
        <w:sz w:val="16"/>
        <w:szCs w:val="24"/>
      </w:rPr>
    </w:lvl>
    <w:lvl w:ilvl="4">
      <w:start w:val="1"/>
      <w:numFmt w:val="bullet"/>
      <w:lvlText w:val="►"/>
      <w:lvlJc w:val="left"/>
      <w:pPr>
        <w:tabs>
          <w:tab w:val="num" w:pos="1577"/>
        </w:tabs>
        <w:ind w:left="1440" w:hanging="288"/>
      </w:pPr>
      <w:rPr>
        <w:rFonts w:ascii="Arial" w:hAnsi="Arial" w:cs="Times New Roman" w:hint="default"/>
        <w:color w:val="auto"/>
        <w:sz w:val="16"/>
        <w:szCs w:val="24"/>
      </w:rPr>
    </w:lvl>
    <w:lvl w:ilvl="5">
      <w:start w:val="1"/>
      <w:numFmt w:val="bullet"/>
      <w:lvlText w:val="►"/>
      <w:lvlJc w:val="left"/>
      <w:pPr>
        <w:tabs>
          <w:tab w:val="num" w:pos="1865"/>
        </w:tabs>
        <w:ind w:left="1728" w:hanging="288"/>
      </w:pPr>
      <w:rPr>
        <w:rFonts w:ascii="Arial" w:hAnsi="Arial" w:cs="Times New Roman" w:hint="default"/>
        <w:color w:val="auto"/>
        <w:sz w:val="16"/>
        <w:szCs w:val="24"/>
      </w:rPr>
    </w:lvl>
    <w:lvl w:ilvl="6">
      <w:start w:val="1"/>
      <w:numFmt w:val="none"/>
      <w:suff w:val="nothing"/>
      <w:lvlText w:val=""/>
      <w:lvlJc w:val="left"/>
      <w:pPr>
        <w:ind w:left="2016" w:hanging="288"/>
      </w:pPr>
      <w:rPr>
        <w:rFonts w:hint="default"/>
      </w:rPr>
    </w:lvl>
    <w:lvl w:ilvl="7">
      <w:start w:val="1"/>
      <w:numFmt w:val="none"/>
      <w:suff w:val="nothing"/>
      <w:lvlText w:val=""/>
      <w:lvlJc w:val="left"/>
      <w:pPr>
        <w:ind w:left="2304" w:hanging="288"/>
      </w:pPr>
      <w:rPr>
        <w:rFonts w:hint="default"/>
      </w:rPr>
    </w:lvl>
    <w:lvl w:ilvl="8">
      <w:start w:val="1"/>
      <w:numFmt w:val="none"/>
      <w:suff w:val="nothing"/>
      <w:lvlText w:val=""/>
      <w:lvlJc w:val="left"/>
      <w:pPr>
        <w:ind w:left="2592" w:hanging="288"/>
      </w:pPr>
      <w:rPr>
        <w:rFonts w:hint="default"/>
      </w:rPr>
    </w:lvl>
  </w:abstractNum>
  <w:abstractNum w:abstractNumId="16">
    <w:nsid w:val="3E643027"/>
    <w:multiLevelType w:val="hybridMultilevel"/>
    <w:tmpl w:val="5ACEFCF0"/>
    <w:lvl w:ilvl="0" w:tplc="3250707A">
      <w:numFmt w:val="bullet"/>
      <w:lvlText w:val="-"/>
      <w:lvlJc w:val="left"/>
      <w:pPr>
        <w:ind w:left="720" w:hanging="360"/>
      </w:pPr>
      <w:rPr>
        <w:rFonts w:ascii="Calibri" w:eastAsiaTheme="minorHAnsi" w:hAnsi="Calibri" w:cstheme="minorBidi"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7">
    <w:nsid w:val="422B2CA1"/>
    <w:multiLevelType w:val="hybridMultilevel"/>
    <w:tmpl w:val="9E46873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8">
    <w:nsid w:val="4B4F6925"/>
    <w:multiLevelType w:val="hybridMultilevel"/>
    <w:tmpl w:val="E38ACA2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9">
    <w:nsid w:val="4CF6331F"/>
    <w:multiLevelType w:val="hybridMultilevel"/>
    <w:tmpl w:val="CAC2FEF6"/>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nsid w:val="5D607F57"/>
    <w:multiLevelType w:val="multilevel"/>
    <w:tmpl w:val="2594FDC4"/>
    <w:lvl w:ilvl="0">
      <w:start w:val="1"/>
      <w:numFmt w:val="decimal"/>
      <w:lvlRestart w:val="0"/>
      <w:lvlText w:val="%1."/>
      <w:lvlJc w:val="left"/>
      <w:pPr>
        <w:tabs>
          <w:tab w:val="num" w:pos="0"/>
        </w:tabs>
        <w:ind w:left="0" w:hanging="850"/>
      </w:pPr>
      <w:rPr>
        <w:rFonts w:ascii="EYInterstate Light" w:hAnsi="EYInterstate Light" w:hint="default"/>
        <w:b/>
        <w:i w:val="0"/>
        <w:color w:val="7F7E82"/>
        <w:sz w:val="32"/>
      </w:rPr>
    </w:lvl>
    <w:lvl w:ilvl="1">
      <w:start w:val="1"/>
      <w:numFmt w:val="bullet"/>
      <w:lvlText w:val=""/>
      <w:lvlJc w:val="left"/>
      <w:pPr>
        <w:tabs>
          <w:tab w:val="num" w:pos="0"/>
        </w:tabs>
        <w:ind w:left="0" w:hanging="850"/>
      </w:pPr>
      <w:rPr>
        <w:rFonts w:ascii="Symbol" w:hAnsi="Symbol" w:hint="default"/>
        <w:b/>
        <w:i w:val="0"/>
        <w:color w:val="000000"/>
        <w:sz w:val="28"/>
      </w:rPr>
    </w:lvl>
    <w:lvl w:ilvl="2">
      <w:start w:val="1"/>
      <w:numFmt w:val="decimal"/>
      <w:lvlText w:val="%1.%2.%3"/>
      <w:lvlJc w:val="left"/>
      <w:pPr>
        <w:tabs>
          <w:tab w:val="num" w:pos="0"/>
        </w:tabs>
        <w:ind w:left="0" w:hanging="850"/>
      </w:pPr>
      <w:rPr>
        <w:rFonts w:ascii="EYInterstate Light" w:hAnsi="EYInterstate Light" w:hint="default"/>
        <w:b/>
        <w:i w:val="0"/>
        <w:color w:val="000000"/>
        <w:sz w:val="26"/>
      </w:rPr>
    </w:lvl>
    <w:lvl w:ilvl="3">
      <w:start w:val="1"/>
      <w:numFmt w:val="decimal"/>
      <w:lvlText w:val="%1.%2.%3.%4"/>
      <w:lvlJc w:val="left"/>
      <w:pPr>
        <w:tabs>
          <w:tab w:val="num" w:pos="0"/>
        </w:tabs>
        <w:ind w:left="0" w:hanging="850"/>
      </w:pPr>
      <w:rPr>
        <w:rFonts w:ascii="EYInterstate Light" w:hAnsi="EYInterstate Light" w:hint="default"/>
        <w:b/>
        <w:i w:val="0"/>
        <w:color w:val="000000"/>
        <w:sz w:val="22"/>
      </w:rPr>
    </w:lvl>
    <w:lvl w:ilvl="4">
      <w:start w:val="1"/>
      <w:numFmt w:val="none"/>
      <w:lvlText w:val=""/>
      <w:lvlJc w:val="left"/>
      <w:pPr>
        <w:tabs>
          <w:tab w:val="num" w:pos="0"/>
        </w:tabs>
        <w:ind w:left="0" w:firstLine="0"/>
      </w:pPr>
      <w:rPr>
        <w:rFonts w:hint="default"/>
      </w:rPr>
    </w:lvl>
    <w:lvl w:ilvl="5">
      <w:start w:val="1"/>
      <w:numFmt w:val="none"/>
      <w:lvlText w:val=""/>
      <w:lvlJc w:val="left"/>
      <w:pPr>
        <w:tabs>
          <w:tab w:val="num" w:pos="0"/>
        </w:tabs>
        <w:ind w:left="0" w:firstLine="0"/>
      </w:pPr>
      <w:rPr>
        <w:rFonts w:hint="default"/>
      </w:rPr>
    </w:lvl>
    <w:lvl w:ilvl="6">
      <w:start w:val="1"/>
      <w:numFmt w:val="none"/>
      <w:lvlText w:val=""/>
      <w:lvlJc w:val="left"/>
      <w:pPr>
        <w:tabs>
          <w:tab w:val="num" w:pos="0"/>
        </w:tabs>
        <w:ind w:left="0" w:firstLine="0"/>
      </w:pPr>
      <w:rPr>
        <w:rFonts w:hint="default"/>
      </w:rPr>
    </w:lvl>
    <w:lvl w:ilvl="7">
      <w:start w:val="1"/>
      <w:numFmt w:val="none"/>
      <w:lvlText w:val=""/>
      <w:lvlJc w:val="left"/>
      <w:pPr>
        <w:tabs>
          <w:tab w:val="num" w:pos="0"/>
        </w:tabs>
        <w:ind w:left="0" w:firstLine="0"/>
      </w:pPr>
      <w:rPr>
        <w:rFonts w:hint="default"/>
      </w:rPr>
    </w:lvl>
    <w:lvl w:ilvl="8">
      <w:start w:val="1"/>
      <w:numFmt w:val="none"/>
      <w:lvlText w:val=""/>
      <w:lvlJc w:val="left"/>
      <w:pPr>
        <w:tabs>
          <w:tab w:val="num" w:pos="0"/>
        </w:tabs>
        <w:ind w:left="0" w:firstLine="0"/>
      </w:pPr>
      <w:rPr>
        <w:rFonts w:hint="default"/>
      </w:rPr>
    </w:lvl>
  </w:abstractNum>
  <w:abstractNum w:abstractNumId="21">
    <w:nsid w:val="5EB174C2"/>
    <w:multiLevelType w:val="hybridMultilevel"/>
    <w:tmpl w:val="0D749DF0"/>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nsid w:val="60601124"/>
    <w:multiLevelType w:val="hybridMultilevel"/>
    <w:tmpl w:val="AFFAAC14"/>
    <w:lvl w:ilvl="0" w:tplc="0660F662">
      <w:start w:val="1"/>
      <w:numFmt w:val="bullet"/>
      <w:lvlText w:val="&gt;"/>
      <w:lvlJc w:val="left"/>
      <w:pPr>
        <w:ind w:left="1021" w:hanging="360"/>
      </w:pPr>
      <w:rPr>
        <w:rFonts w:ascii="Arial" w:hAnsi="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3">
    <w:nsid w:val="745B0FE5"/>
    <w:multiLevelType w:val="hybridMultilevel"/>
    <w:tmpl w:val="16DC4A62"/>
    <w:lvl w:ilvl="0" w:tplc="1930C884">
      <w:start w:val="4"/>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nsid w:val="74F82B44"/>
    <w:multiLevelType w:val="hybridMultilevel"/>
    <w:tmpl w:val="EF925B9C"/>
    <w:lvl w:ilvl="0" w:tplc="E2B27056">
      <w:start w:val="11"/>
      <w:numFmt w:val="bullet"/>
      <w:lvlText w:val="-"/>
      <w:lvlJc w:val="left"/>
      <w:pPr>
        <w:ind w:left="1080" w:hanging="360"/>
      </w:pPr>
      <w:rPr>
        <w:rFonts w:ascii="Calibri" w:eastAsiaTheme="minorHAnsi" w:hAnsi="Calibri" w:cs="Calibri"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25">
    <w:nsid w:val="79921EC8"/>
    <w:multiLevelType w:val="hybridMultilevel"/>
    <w:tmpl w:val="6BA404D2"/>
    <w:lvl w:ilvl="0" w:tplc="9A60D420">
      <w:start w:val="1"/>
      <w:numFmt w:val="decimal"/>
      <w:lvlText w:val="%1."/>
      <w:lvlJc w:val="left"/>
      <w:pPr>
        <w:ind w:left="108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26">
    <w:nsid w:val="7E001F1C"/>
    <w:multiLevelType w:val="hybridMultilevel"/>
    <w:tmpl w:val="BB9AB726"/>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14"/>
  </w:num>
  <w:num w:numId="2">
    <w:abstractNumId w:val="14"/>
  </w:num>
  <w:num w:numId="3">
    <w:abstractNumId w:val="25"/>
  </w:num>
  <w:num w:numId="4">
    <w:abstractNumId w:val="7"/>
  </w:num>
  <w:num w:numId="5">
    <w:abstractNumId w:val="24"/>
  </w:num>
  <w:num w:numId="6">
    <w:abstractNumId w:val="23"/>
  </w:num>
  <w:num w:numId="7">
    <w:abstractNumId w:val="2"/>
  </w:num>
  <w:num w:numId="8">
    <w:abstractNumId w:val="15"/>
  </w:num>
  <w:num w:numId="9">
    <w:abstractNumId w:val="6"/>
  </w:num>
  <w:num w:numId="10">
    <w:abstractNumId w:val="20"/>
  </w:num>
  <w:num w:numId="11">
    <w:abstractNumId w:val="8"/>
  </w:num>
  <w:num w:numId="12">
    <w:abstractNumId w:val="14"/>
  </w:num>
  <w:num w:numId="13">
    <w:abstractNumId w:val="5"/>
  </w:num>
  <w:num w:numId="14">
    <w:abstractNumId w:val="1"/>
  </w:num>
  <w:num w:numId="15">
    <w:abstractNumId w:val="22"/>
  </w:num>
  <w:num w:numId="16">
    <w:abstractNumId w:val="19"/>
  </w:num>
  <w:num w:numId="17">
    <w:abstractNumId w:val="0"/>
  </w:num>
  <w:num w:numId="18">
    <w:abstractNumId w:val="3"/>
  </w:num>
  <w:num w:numId="19">
    <w:abstractNumId w:val="26"/>
  </w:num>
  <w:num w:numId="20">
    <w:abstractNumId w:val="9"/>
  </w:num>
  <w:num w:numId="21">
    <w:abstractNumId w:val="4"/>
  </w:num>
  <w:num w:numId="22">
    <w:abstractNumId w:val="16"/>
  </w:num>
  <w:num w:numId="23">
    <w:abstractNumId w:val="12"/>
  </w:num>
  <w:num w:numId="24">
    <w:abstractNumId w:val="11"/>
  </w:num>
  <w:num w:numId="25">
    <w:abstractNumId w:val="17"/>
  </w:num>
  <w:num w:numId="26">
    <w:abstractNumId w:val="18"/>
  </w:num>
  <w:num w:numId="27">
    <w:abstractNumId w:val="10"/>
  </w:num>
  <w:num w:numId="28">
    <w:abstractNumId w:val="13"/>
  </w:num>
  <w:num w:numId="2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proofState w:spelling="clean" w:grammar="clean"/>
  <w:defaultTabStop w:val="709"/>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04D83"/>
    <w:rsid w:val="00017E4E"/>
    <w:rsid w:val="00021422"/>
    <w:rsid w:val="00023BA5"/>
    <w:rsid w:val="0002641B"/>
    <w:rsid w:val="00045B0F"/>
    <w:rsid w:val="00051004"/>
    <w:rsid w:val="0005195A"/>
    <w:rsid w:val="0005455C"/>
    <w:rsid w:val="000620C9"/>
    <w:rsid w:val="00065A04"/>
    <w:rsid w:val="00071E2A"/>
    <w:rsid w:val="0009401A"/>
    <w:rsid w:val="000A35A5"/>
    <w:rsid w:val="000B1646"/>
    <w:rsid w:val="000C7E21"/>
    <w:rsid w:val="000D6FFA"/>
    <w:rsid w:val="000E0FE4"/>
    <w:rsid w:val="0010134F"/>
    <w:rsid w:val="001210C6"/>
    <w:rsid w:val="00122B24"/>
    <w:rsid w:val="00127656"/>
    <w:rsid w:val="0014719F"/>
    <w:rsid w:val="00162480"/>
    <w:rsid w:val="00194644"/>
    <w:rsid w:val="001A579A"/>
    <w:rsid w:val="001A74CC"/>
    <w:rsid w:val="001B0AF3"/>
    <w:rsid w:val="001B17EC"/>
    <w:rsid w:val="001D1264"/>
    <w:rsid w:val="001F2A19"/>
    <w:rsid w:val="002300F0"/>
    <w:rsid w:val="00240697"/>
    <w:rsid w:val="00240BDD"/>
    <w:rsid w:val="00245A4C"/>
    <w:rsid w:val="002519D2"/>
    <w:rsid w:val="0025304C"/>
    <w:rsid w:val="00257002"/>
    <w:rsid w:val="002666EF"/>
    <w:rsid w:val="00266D55"/>
    <w:rsid w:val="0027405B"/>
    <w:rsid w:val="00286BDE"/>
    <w:rsid w:val="002A1665"/>
    <w:rsid w:val="002A583C"/>
    <w:rsid w:val="002B5B31"/>
    <w:rsid w:val="00312F7F"/>
    <w:rsid w:val="00314593"/>
    <w:rsid w:val="0032066C"/>
    <w:rsid w:val="003260DD"/>
    <w:rsid w:val="00336022"/>
    <w:rsid w:val="003462C1"/>
    <w:rsid w:val="00346D19"/>
    <w:rsid w:val="0035416B"/>
    <w:rsid w:val="00360625"/>
    <w:rsid w:val="00365427"/>
    <w:rsid w:val="00390CA3"/>
    <w:rsid w:val="00393C04"/>
    <w:rsid w:val="003A10F1"/>
    <w:rsid w:val="003A5AA8"/>
    <w:rsid w:val="003C2801"/>
    <w:rsid w:val="003D3689"/>
    <w:rsid w:val="003E089D"/>
    <w:rsid w:val="003E13E2"/>
    <w:rsid w:val="003E29B9"/>
    <w:rsid w:val="003E5ED3"/>
    <w:rsid w:val="003E7EE5"/>
    <w:rsid w:val="003F3C80"/>
    <w:rsid w:val="00426552"/>
    <w:rsid w:val="00437852"/>
    <w:rsid w:val="00440B60"/>
    <w:rsid w:val="0044164E"/>
    <w:rsid w:val="0044361B"/>
    <w:rsid w:val="00456F58"/>
    <w:rsid w:val="004608A3"/>
    <w:rsid w:val="00491241"/>
    <w:rsid w:val="00491938"/>
    <w:rsid w:val="00494DB3"/>
    <w:rsid w:val="004A1C97"/>
    <w:rsid w:val="004A46B7"/>
    <w:rsid w:val="004A4C40"/>
    <w:rsid w:val="004E6219"/>
    <w:rsid w:val="004F10F4"/>
    <w:rsid w:val="00502075"/>
    <w:rsid w:val="005334A5"/>
    <w:rsid w:val="00535B55"/>
    <w:rsid w:val="0055064B"/>
    <w:rsid w:val="005562EE"/>
    <w:rsid w:val="00570B34"/>
    <w:rsid w:val="005A37A8"/>
    <w:rsid w:val="005A4231"/>
    <w:rsid w:val="005A589D"/>
    <w:rsid w:val="005B0AEA"/>
    <w:rsid w:val="00602C90"/>
    <w:rsid w:val="00603BFF"/>
    <w:rsid w:val="006044A1"/>
    <w:rsid w:val="00604EA1"/>
    <w:rsid w:val="006104F8"/>
    <w:rsid w:val="00616AD1"/>
    <w:rsid w:val="00642B15"/>
    <w:rsid w:val="0064422B"/>
    <w:rsid w:val="00652967"/>
    <w:rsid w:val="0065437F"/>
    <w:rsid w:val="006642E8"/>
    <w:rsid w:val="00690494"/>
    <w:rsid w:val="006971EE"/>
    <w:rsid w:val="006A2629"/>
    <w:rsid w:val="006A2641"/>
    <w:rsid w:val="006B551D"/>
    <w:rsid w:val="006B7C6B"/>
    <w:rsid w:val="006C451A"/>
    <w:rsid w:val="006C7A16"/>
    <w:rsid w:val="006F19A8"/>
    <w:rsid w:val="006F7F22"/>
    <w:rsid w:val="007069D9"/>
    <w:rsid w:val="007073F2"/>
    <w:rsid w:val="007075FB"/>
    <w:rsid w:val="00710CA3"/>
    <w:rsid w:val="007152F3"/>
    <w:rsid w:val="00723B98"/>
    <w:rsid w:val="00730E0B"/>
    <w:rsid w:val="00731CDE"/>
    <w:rsid w:val="00766C87"/>
    <w:rsid w:val="00775435"/>
    <w:rsid w:val="0079123E"/>
    <w:rsid w:val="007978DF"/>
    <w:rsid w:val="007A3C99"/>
    <w:rsid w:val="007B064E"/>
    <w:rsid w:val="007B46B7"/>
    <w:rsid w:val="007C0323"/>
    <w:rsid w:val="007E7339"/>
    <w:rsid w:val="00834B59"/>
    <w:rsid w:val="00850C5E"/>
    <w:rsid w:val="00856292"/>
    <w:rsid w:val="0085658E"/>
    <w:rsid w:val="00862718"/>
    <w:rsid w:val="00863AEB"/>
    <w:rsid w:val="008811BC"/>
    <w:rsid w:val="00881D5F"/>
    <w:rsid w:val="008D161A"/>
    <w:rsid w:val="008F4DC1"/>
    <w:rsid w:val="008F55BF"/>
    <w:rsid w:val="00904CE8"/>
    <w:rsid w:val="009076D7"/>
    <w:rsid w:val="00910EAA"/>
    <w:rsid w:val="0092539A"/>
    <w:rsid w:val="0093287F"/>
    <w:rsid w:val="00944754"/>
    <w:rsid w:val="00952AC7"/>
    <w:rsid w:val="00956CBE"/>
    <w:rsid w:val="00964FC5"/>
    <w:rsid w:val="00971E0D"/>
    <w:rsid w:val="009A05BF"/>
    <w:rsid w:val="009B6F49"/>
    <w:rsid w:val="009E2DE3"/>
    <w:rsid w:val="009E32F3"/>
    <w:rsid w:val="009F0B52"/>
    <w:rsid w:val="009F7B85"/>
    <w:rsid w:val="00A04B19"/>
    <w:rsid w:val="00A05A0C"/>
    <w:rsid w:val="00A111E1"/>
    <w:rsid w:val="00A12689"/>
    <w:rsid w:val="00A16554"/>
    <w:rsid w:val="00A16FD9"/>
    <w:rsid w:val="00A34C1B"/>
    <w:rsid w:val="00A4375C"/>
    <w:rsid w:val="00A71B03"/>
    <w:rsid w:val="00A76FA4"/>
    <w:rsid w:val="00A86385"/>
    <w:rsid w:val="00A87E78"/>
    <w:rsid w:val="00AA0220"/>
    <w:rsid w:val="00AC6FA0"/>
    <w:rsid w:val="00AD5DB7"/>
    <w:rsid w:val="00B47EBE"/>
    <w:rsid w:val="00B5532D"/>
    <w:rsid w:val="00B6306E"/>
    <w:rsid w:val="00B70A61"/>
    <w:rsid w:val="00B74435"/>
    <w:rsid w:val="00B74FD8"/>
    <w:rsid w:val="00BA31BB"/>
    <w:rsid w:val="00BE6F17"/>
    <w:rsid w:val="00BF27F4"/>
    <w:rsid w:val="00C10EC9"/>
    <w:rsid w:val="00C243EE"/>
    <w:rsid w:val="00C403D2"/>
    <w:rsid w:val="00C4711B"/>
    <w:rsid w:val="00C503F3"/>
    <w:rsid w:val="00C5165E"/>
    <w:rsid w:val="00C6498E"/>
    <w:rsid w:val="00C754CE"/>
    <w:rsid w:val="00C82C08"/>
    <w:rsid w:val="00C837C8"/>
    <w:rsid w:val="00C93663"/>
    <w:rsid w:val="00CA098E"/>
    <w:rsid w:val="00CB4BB6"/>
    <w:rsid w:val="00CC4C56"/>
    <w:rsid w:val="00CD3BB3"/>
    <w:rsid w:val="00CF0305"/>
    <w:rsid w:val="00CF07A0"/>
    <w:rsid w:val="00D17806"/>
    <w:rsid w:val="00D2583E"/>
    <w:rsid w:val="00D40018"/>
    <w:rsid w:val="00DB7372"/>
    <w:rsid w:val="00DC04EE"/>
    <w:rsid w:val="00DC2AA2"/>
    <w:rsid w:val="00DC6DF9"/>
    <w:rsid w:val="00DF3526"/>
    <w:rsid w:val="00E15435"/>
    <w:rsid w:val="00E155CE"/>
    <w:rsid w:val="00E16F11"/>
    <w:rsid w:val="00E17CEC"/>
    <w:rsid w:val="00E30FA7"/>
    <w:rsid w:val="00E63B7E"/>
    <w:rsid w:val="00E81F7A"/>
    <w:rsid w:val="00E83EDC"/>
    <w:rsid w:val="00E92558"/>
    <w:rsid w:val="00E96B94"/>
    <w:rsid w:val="00EA2FB7"/>
    <w:rsid w:val="00EA41AB"/>
    <w:rsid w:val="00EB2738"/>
    <w:rsid w:val="00EB2F4F"/>
    <w:rsid w:val="00EB668B"/>
    <w:rsid w:val="00ED0C2D"/>
    <w:rsid w:val="00ED40EA"/>
    <w:rsid w:val="00EE2A45"/>
    <w:rsid w:val="00F04D83"/>
    <w:rsid w:val="00F13F22"/>
    <w:rsid w:val="00F175A5"/>
    <w:rsid w:val="00F21E67"/>
    <w:rsid w:val="00F605AC"/>
    <w:rsid w:val="00F7062B"/>
    <w:rsid w:val="00F70F61"/>
    <w:rsid w:val="00F74BEB"/>
    <w:rsid w:val="00F77E12"/>
    <w:rsid w:val="00F86855"/>
    <w:rsid w:val="00F87ABC"/>
    <w:rsid w:val="00FA214A"/>
    <w:rsid w:val="00FA2C10"/>
    <w:rsid w:val="00FB4346"/>
    <w:rsid w:val="00FE4012"/>
    <w:rsid w:val="00FF50F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0F7739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0" w:qFormat="1"/>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F04D83"/>
    <w:pPr>
      <w:spacing w:after="0" w:line="240" w:lineRule="auto"/>
    </w:pPr>
    <w:rPr>
      <w:rFonts w:ascii="Calibri" w:hAnsi="Calibri" w:cs="Calibri"/>
    </w:rPr>
  </w:style>
  <w:style w:type="paragraph" w:styleId="Nadpis1">
    <w:name w:val="heading 1"/>
    <w:basedOn w:val="Normln"/>
    <w:next w:val="Normln"/>
    <w:link w:val="Nadpis1Char"/>
    <w:uiPriority w:val="9"/>
    <w:qFormat/>
    <w:rsid w:val="00286BDE"/>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Nadpis2">
    <w:name w:val="heading 2"/>
    <w:basedOn w:val="Normln"/>
    <w:next w:val="Normln"/>
    <w:link w:val="Nadpis2Char"/>
    <w:uiPriority w:val="9"/>
    <w:unhideWhenUsed/>
    <w:qFormat/>
    <w:rsid w:val="00C403D2"/>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Nadpis3">
    <w:name w:val="heading 3"/>
    <w:basedOn w:val="Normln"/>
    <w:next w:val="Normln"/>
    <w:link w:val="Nadpis3Char"/>
    <w:uiPriority w:val="9"/>
    <w:semiHidden/>
    <w:unhideWhenUsed/>
    <w:qFormat/>
    <w:rsid w:val="00C403D2"/>
    <w:pPr>
      <w:keepNext/>
      <w:keepLines/>
      <w:spacing w:before="40"/>
      <w:outlineLvl w:val="2"/>
    </w:pPr>
    <w:rPr>
      <w:rFonts w:asciiTheme="majorHAnsi" w:eastAsiaTheme="majorEastAsia" w:hAnsiTheme="majorHAnsi" w:cstheme="majorBidi"/>
      <w:color w:val="1F4D78" w:themeColor="accent1" w:themeShade="7F"/>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Titulek">
    <w:name w:val="caption"/>
    <w:basedOn w:val="Normln"/>
    <w:unhideWhenUsed/>
    <w:qFormat/>
    <w:rsid w:val="00F04D83"/>
    <w:pPr>
      <w:spacing w:after="200"/>
      <w:jc w:val="both"/>
    </w:pPr>
    <w:rPr>
      <w:b/>
      <w:bCs/>
      <w:color w:val="4F81BD"/>
      <w:sz w:val="18"/>
      <w:szCs w:val="18"/>
    </w:rPr>
  </w:style>
  <w:style w:type="paragraph" w:styleId="Odstavecseseznamem">
    <w:name w:val="List Paragraph"/>
    <w:basedOn w:val="Normln"/>
    <w:uiPriority w:val="34"/>
    <w:qFormat/>
    <w:rsid w:val="00FF50F2"/>
    <w:pPr>
      <w:spacing w:after="200" w:line="276" w:lineRule="auto"/>
      <w:ind w:left="720"/>
      <w:contextualSpacing/>
      <w:jc w:val="both"/>
    </w:pPr>
    <w:rPr>
      <w:i/>
    </w:rPr>
  </w:style>
  <w:style w:type="paragraph" w:customStyle="1" w:styleId="otazka">
    <w:name w:val="otazka"/>
    <w:basedOn w:val="Normln"/>
    <w:next w:val="odpoved"/>
    <w:qFormat/>
    <w:rsid w:val="00065A04"/>
    <w:pPr>
      <w:keepNext/>
      <w:spacing w:before="360"/>
    </w:pPr>
  </w:style>
  <w:style w:type="paragraph" w:customStyle="1" w:styleId="odpoved">
    <w:name w:val="odpoved"/>
    <w:basedOn w:val="Odstavecseseznamem"/>
    <w:qFormat/>
    <w:rsid w:val="00604EA1"/>
    <w:rPr>
      <w:color w:val="4472C4" w:themeColor="accent5"/>
    </w:rPr>
  </w:style>
  <w:style w:type="character" w:customStyle="1" w:styleId="Nadpis1Char">
    <w:name w:val="Nadpis 1 Char"/>
    <w:basedOn w:val="Standardnpsmoodstavce"/>
    <w:link w:val="Nadpis1"/>
    <w:uiPriority w:val="9"/>
    <w:rsid w:val="00286BDE"/>
    <w:rPr>
      <w:rFonts w:asciiTheme="majorHAnsi" w:eastAsiaTheme="majorEastAsia" w:hAnsiTheme="majorHAnsi" w:cstheme="majorBidi"/>
      <w:color w:val="2E74B5" w:themeColor="accent1" w:themeShade="BF"/>
      <w:sz w:val="32"/>
      <w:szCs w:val="32"/>
    </w:rPr>
  </w:style>
  <w:style w:type="paragraph" w:styleId="Textbubliny">
    <w:name w:val="Balloon Text"/>
    <w:basedOn w:val="Normln"/>
    <w:link w:val="TextbublinyChar"/>
    <w:uiPriority w:val="99"/>
    <w:semiHidden/>
    <w:unhideWhenUsed/>
    <w:rsid w:val="002666EF"/>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2666EF"/>
    <w:rPr>
      <w:rFonts w:ascii="Segoe UI" w:hAnsi="Segoe UI" w:cs="Segoe UI"/>
      <w:sz w:val="18"/>
      <w:szCs w:val="18"/>
    </w:rPr>
  </w:style>
  <w:style w:type="paragraph" w:styleId="Textpoznpodarou">
    <w:name w:val="footnote text"/>
    <w:basedOn w:val="Normln"/>
    <w:link w:val="TextpoznpodarouChar"/>
    <w:uiPriority w:val="99"/>
    <w:semiHidden/>
    <w:unhideWhenUsed/>
    <w:rsid w:val="0079123E"/>
    <w:rPr>
      <w:sz w:val="20"/>
      <w:szCs w:val="20"/>
    </w:rPr>
  </w:style>
  <w:style w:type="character" w:customStyle="1" w:styleId="TextpoznpodarouChar">
    <w:name w:val="Text pozn. pod čarou Char"/>
    <w:basedOn w:val="Standardnpsmoodstavce"/>
    <w:link w:val="Textpoznpodarou"/>
    <w:uiPriority w:val="99"/>
    <w:semiHidden/>
    <w:rsid w:val="0079123E"/>
    <w:rPr>
      <w:rFonts w:ascii="Calibri" w:hAnsi="Calibri" w:cs="Calibri"/>
      <w:sz w:val="20"/>
      <w:szCs w:val="20"/>
    </w:rPr>
  </w:style>
  <w:style w:type="character" w:styleId="Znakapoznpodarou">
    <w:name w:val="footnote reference"/>
    <w:basedOn w:val="Standardnpsmoodstavce"/>
    <w:uiPriority w:val="99"/>
    <w:semiHidden/>
    <w:unhideWhenUsed/>
    <w:rsid w:val="0079123E"/>
    <w:rPr>
      <w:vertAlign w:val="superscript"/>
    </w:rPr>
  </w:style>
  <w:style w:type="character" w:styleId="Odkaznakoment">
    <w:name w:val="annotation reference"/>
    <w:basedOn w:val="Standardnpsmoodstavce"/>
    <w:semiHidden/>
    <w:unhideWhenUsed/>
    <w:rsid w:val="0079123E"/>
    <w:rPr>
      <w:sz w:val="16"/>
      <w:szCs w:val="16"/>
    </w:rPr>
  </w:style>
  <w:style w:type="paragraph" w:styleId="Textkomente">
    <w:name w:val="annotation text"/>
    <w:basedOn w:val="Normln"/>
    <w:link w:val="TextkomenteChar"/>
    <w:unhideWhenUsed/>
    <w:rsid w:val="0079123E"/>
    <w:rPr>
      <w:sz w:val="20"/>
      <w:szCs w:val="20"/>
    </w:rPr>
  </w:style>
  <w:style w:type="character" w:customStyle="1" w:styleId="TextkomenteChar">
    <w:name w:val="Text komentáře Char"/>
    <w:basedOn w:val="Standardnpsmoodstavce"/>
    <w:link w:val="Textkomente"/>
    <w:rsid w:val="0079123E"/>
    <w:rPr>
      <w:rFonts w:ascii="Calibri" w:hAnsi="Calibri" w:cs="Calibri"/>
      <w:sz w:val="20"/>
      <w:szCs w:val="20"/>
    </w:rPr>
  </w:style>
  <w:style w:type="paragraph" w:styleId="Pedmtkomente">
    <w:name w:val="annotation subject"/>
    <w:basedOn w:val="Textkomente"/>
    <w:next w:val="Textkomente"/>
    <w:link w:val="PedmtkomenteChar"/>
    <w:uiPriority w:val="99"/>
    <w:semiHidden/>
    <w:unhideWhenUsed/>
    <w:rsid w:val="0079123E"/>
    <w:rPr>
      <w:b/>
      <w:bCs/>
    </w:rPr>
  </w:style>
  <w:style w:type="character" w:customStyle="1" w:styleId="PedmtkomenteChar">
    <w:name w:val="Předmět komentáře Char"/>
    <w:basedOn w:val="TextkomenteChar"/>
    <w:link w:val="Pedmtkomente"/>
    <w:uiPriority w:val="99"/>
    <w:semiHidden/>
    <w:rsid w:val="0079123E"/>
    <w:rPr>
      <w:rFonts w:ascii="Calibri" w:hAnsi="Calibri" w:cs="Calibri"/>
      <w:b/>
      <w:bCs/>
      <w:sz w:val="20"/>
      <w:szCs w:val="20"/>
    </w:rPr>
  </w:style>
  <w:style w:type="table" w:styleId="Mkatabulky">
    <w:name w:val="Table Grid"/>
    <w:basedOn w:val="Normlntabulka"/>
    <w:uiPriority w:val="59"/>
    <w:rsid w:val="00A04B1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dpis2Char">
    <w:name w:val="Nadpis 2 Char"/>
    <w:basedOn w:val="Standardnpsmoodstavce"/>
    <w:link w:val="Nadpis2"/>
    <w:uiPriority w:val="9"/>
    <w:rsid w:val="00C403D2"/>
    <w:rPr>
      <w:rFonts w:asciiTheme="majorHAnsi" w:eastAsiaTheme="majorEastAsia" w:hAnsiTheme="majorHAnsi" w:cstheme="majorBidi"/>
      <w:color w:val="2E74B5" w:themeColor="accent1" w:themeShade="BF"/>
      <w:sz w:val="26"/>
      <w:szCs w:val="26"/>
    </w:rPr>
  </w:style>
  <w:style w:type="character" w:customStyle="1" w:styleId="Nadpis3Char">
    <w:name w:val="Nadpis 3 Char"/>
    <w:basedOn w:val="Standardnpsmoodstavce"/>
    <w:link w:val="Nadpis3"/>
    <w:uiPriority w:val="9"/>
    <w:semiHidden/>
    <w:rsid w:val="00C403D2"/>
    <w:rPr>
      <w:rFonts w:asciiTheme="majorHAnsi" w:eastAsiaTheme="majorEastAsia" w:hAnsiTheme="majorHAnsi" w:cstheme="majorBidi"/>
      <w:color w:val="1F4D78" w:themeColor="accent1" w:themeShade="7F"/>
      <w:sz w:val="24"/>
      <w:szCs w:val="24"/>
    </w:rPr>
  </w:style>
  <w:style w:type="paragraph" w:customStyle="1" w:styleId="EYBulletedList1">
    <w:name w:val="EY Bulleted List 1"/>
    <w:rsid w:val="00C403D2"/>
    <w:pPr>
      <w:numPr>
        <w:numId w:val="8"/>
      </w:numPr>
      <w:spacing w:after="0" w:line="240" w:lineRule="auto"/>
    </w:pPr>
    <w:rPr>
      <w:rFonts w:ascii="EYInterstate Light" w:eastAsia="Times New Roman" w:hAnsi="EYInterstate Light" w:cs="Times New Roman"/>
      <w:kern w:val="12"/>
      <w:sz w:val="20"/>
      <w:szCs w:val="24"/>
      <w:lang w:val="en-US"/>
    </w:rPr>
  </w:style>
  <w:style w:type="paragraph" w:customStyle="1" w:styleId="EYBulletedList2">
    <w:name w:val="EY Bulleted List 2"/>
    <w:rsid w:val="00C403D2"/>
    <w:pPr>
      <w:numPr>
        <w:ilvl w:val="1"/>
        <w:numId w:val="8"/>
      </w:numPr>
      <w:spacing w:after="0" w:line="240" w:lineRule="auto"/>
    </w:pPr>
    <w:rPr>
      <w:rFonts w:ascii="EYInterstate Light" w:eastAsia="Times New Roman" w:hAnsi="EYInterstate Light" w:cs="Times New Roman"/>
      <w:kern w:val="12"/>
      <w:sz w:val="20"/>
      <w:szCs w:val="24"/>
      <w:lang w:val="en-US"/>
    </w:rPr>
  </w:style>
  <w:style w:type="paragraph" w:customStyle="1" w:styleId="EYBulletedList3">
    <w:name w:val="EY Bulleted List 3"/>
    <w:rsid w:val="00C403D2"/>
    <w:pPr>
      <w:numPr>
        <w:ilvl w:val="2"/>
        <w:numId w:val="8"/>
      </w:numPr>
      <w:spacing w:after="0" w:line="240" w:lineRule="auto"/>
    </w:pPr>
    <w:rPr>
      <w:rFonts w:ascii="EYInterstate Light" w:eastAsia="Times New Roman" w:hAnsi="EYInterstate Light" w:cs="Times New Roman"/>
      <w:kern w:val="12"/>
      <w:sz w:val="20"/>
      <w:szCs w:val="24"/>
      <w:lang w:val="en-US"/>
    </w:rPr>
  </w:style>
  <w:style w:type="paragraph" w:customStyle="1" w:styleId="EYHeading1">
    <w:name w:val="EY Heading 1"/>
    <w:basedOn w:val="Normln"/>
    <w:next w:val="Normln"/>
    <w:rsid w:val="00C403D2"/>
    <w:pPr>
      <w:pageBreakBefore/>
      <w:numPr>
        <w:numId w:val="7"/>
      </w:numPr>
      <w:tabs>
        <w:tab w:val="clear" w:pos="0"/>
        <w:tab w:val="num" w:pos="170"/>
      </w:tabs>
      <w:spacing w:after="360"/>
      <w:ind w:left="170" w:hanging="170"/>
    </w:pPr>
    <w:rPr>
      <w:rFonts w:ascii="EYInterstate Regular" w:eastAsia="Times New Roman" w:hAnsi="EYInterstate Regular" w:cs="Times New Roman"/>
      <w:color w:val="808080"/>
      <w:kern w:val="12"/>
      <w:sz w:val="32"/>
      <w:szCs w:val="24"/>
      <w:lang w:val="en-US"/>
    </w:rPr>
  </w:style>
  <w:style w:type="paragraph" w:customStyle="1" w:styleId="EYHeading2">
    <w:name w:val="EY Heading 2"/>
    <w:basedOn w:val="EYHeading1"/>
    <w:next w:val="Normln"/>
    <w:rsid w:val="00C403D2"/>
    <w:pPr>
      <w:keepNext/>
      <w:pageBreakBefore w:val="0"/>
      <w:numPr>
        <w:ilvl w:val="1"/>
      </w:numPr>
      <w:tabs>
        <w:tab w:val="clear" w:pos="0"/>
        <w:tab w:val="num" w:pos="1440"/>
      </w:tabs>
      <w:spacing w:before="120" w:after="120"/>
      <w:ind w:left="1440" w:hanging="360"/>
      <w:outlineLvl w:val="1"/>
    </w:pPr>
    <w:rPr>
      <w:color w:val="auto"/>
      <w:sz w:val="28"/>
    </w:rPr>
  </w:style>
  <w:style w:type="paragraph" w:customStyle="1" w:styleId="EYHeading3">
    <w:name w:val="EY Heading 3"/>
    <w:basedOn w:val="EYHeading1"/>
    <w:next w:val="Normln"/>
    <w:rsid w:val="00C403D2"/>
    <w:pPr>
      <w:keepNext/>
      <w:pageBreakBefore w:val="0"/>
      <w:numPr>
        <w:ilvl w:val="2"/>
      </w:numPr>
      <w:tabs>
        <w:tab w:val="clear" w:pos="0"/>
        <w:tab w:val="num" w:pos="2160"/>
      </w:tabs>
      <w:spacing w:before="120" w:after="120"/>
      <w:ind w:left="2160" w:hanging="360"/>
      <w:outlineLvl w:val="2"/>
    </w:pPr>
    <w:rPr>
      <w:color w:val="auto"/>
      <w:sz w:val="26"/>
    </w:rPr>
  </w:style>
  <w:style w:type="paragraph" w:customStyle="1" w:styleId="EYHeading4">
    <w:name w:val="EY Heading 4"/>
    <w:basedOn w:val="EYHeading3"/>
    <w:rsid w:val="00C403D2"/>
    <w:pPr>
      <w:numPr>
        <w:ilvl w:val="3"/>
      </w:numPr>
      <w:tabs>
        <w:tab w:val="clear" w:pos="0"/>
        <w:tab w:val="num" w:pos="2880"/>
      </w:tabs>
      <w:ind w:left="2880" w:hanging="360"/>
      <w:outlineLvl w:val="3"/>
    </w:pPr>
    <w:rPr>
      <w:sz w:val="22"/>
    </w:rPr>
  </w:style>
  <w:style w:type="character" w:styleId="Hypertextovodkaz">
    <w:name w:val="Hyperlink"/>
    <w:basedOn w:val="Standardnpsmoodstavce"/>
    <w:uiPriority w:val="99"/>
    <w:rsid w:val="00C403D2"/>
    <w:rPr>
      <w:color w:val="0000FF"/>
      <w:u w:val="single"/>
    </w:rPr>
  </w:style>
  <w:style w:type="paragraph" w:customStyle="1" w:styleId="Bulleted1">
    <w:name w:val="Bulleted 1"/>
    <w:basedOn w:val="EYBulletedList1"/>
    <w:link w:val="Bulleted1Char"/>
    <w:qFormat/>
    <w:rsid w:val="00C403D2"/>
    <w:pPr>
      <w:spacing w:before="120" w:after="120"/>
      <w:jc w:val="both"/>
    </w:pPr>
  </w:style>
  <w:style w:type="paragraph" w:customStyle="1" w:styleId="Bulleted2">
    <w:name w:val="Bulleted 2"/>
    <w:basedOn w:val="EYBulletedList2"/>
    <w:link w:val="Bulleted2Char"/>
    <w:qFormat/>
    <w:rsid w:val="00C403D2"/>
    <w:pPr>
      <w:spacing w:before="120" w:after="120" w:line="480" w:lineRule="auto"/>
      <w:ind w:hanging="289"/>
    </w:pPr>
  </w:style>
  <w:style w:type="character" w:customStyle="1" w:styleId="Bulleted1Char">
    <w:name w:val="Bulleted 1 Char"/>
    <w:basedOn w:val="Standardnpsmoodstavce"/>
    <w:link w:val="Bulleted1"/>
    <w:rsid w:val="00C403D2"/>
    <w:rPr>
      <w:rFonts w:ascii="EYInterstate Light" w:eastAsia="Times New Roman" w:hAnsi="EYInterstate Light" w:cs="Times New Roman"/>
      <w:kern w:val="12"/>
      <w:sz w:val="20"/>
      <w:szCs w:val="24"/>
      <w:lang w:val="en-US"/>
    </w:rPr>
  </w:style>
  <w:style w:type="character" w:customStyle="1" w:styleId="Bulleted2Char">
    <w:name w:val="Bulleted 2 Char"/>
    <w:basedOn w:val="Standardnpsmoodstavce"/>
    <w:link w:val="Bulleted2"/>
    <w:rsid w:val="00C403D2"/>
    <w:rPr>
      <w:rFonts w:ascii="EYInterstate Light" w:eastAsia="Times New Roman" w:hAnsi="EYInterstate Light" w:cs="Times New Roman"/>
      <w:kern w:val="12"/>
      <w:sz w:val="20"/>
      <w:szCs w:val="24"/>
      <w:lang w:val="en-US"/>
    </w:rPr>
  </w:style>
  <w:style w:type="paragraph" w:customStyle="1" w:styleId="Footnote">
    <w:name w:val="Footnote"/>
    <w:link w:val="FootnoteChar"/>
    <w:qFormat/>
    <w:rsid w:val="00C403D2"/>
    <w:pPr>
      <w:spacing w:before="60" w:after="60" w:line="240" w:lineRule="auto"/>
    </w:pPr>
    <w:rPr>
      <w:rFonts w:ascii="EYInterstate Light" w:eastAsia="Times New Roman" w:hAnsi="EYInterstate Light" w:cs="Times New Roman"/>
      <w:i/>
      <w:kern w:val="12"/>
      <w:sz w:val="16"/>
      <w:szCs w:val="24"/>
      <w:lang w:val="en-US"/>
    </w:rPr>
  </w:style>
  <w:style w:type="character" w:customStyle="1" w:styleId="FootnoteChar">
    <w:name w:val="Footnote Char"/>
    <w:basedOn w:val="Standardnpsmoodstavce"/>
    <w:link w:val="Footnote"/>
    <w:rsid w:val="00C403D2"/>
    <w:rPr>
      <w:rFonts w:ascii="EYInterstate Light" w:eastAsia="Times New Roman" w:hAnsi="EYInterstate Light" w:cs="Times New Roman"/>
      <w:i/>
      <w:kern w:val="12"/>
      <w:sz w:val="16"/>
      <w:szCs w:val="24"/>
      <w:lang w:val="en-US"/>
    </w:rPr>
  </w:style>
  <w:style w:type="character" w:styleId="Sledovanodkaz">
    <w:name w:val="FollowedHyperlink"/>
    <w:basedOn w:val="Standardnpsmoodstavce"/>
    <w:uiPriority w:val="99"/>
    <w:semiHidden/>
    <w:unhideWhenUsed/>
    <w:rsid w:val="00C403D2"/>
    <w:rPr>
      <w:color w:val="954F72" w:themeColor="followedHyperlink"/>
      <w:u w:val="single"/>
    </w:rPr>
  </w:style>
  <w:style w:type="paragraph" w:styleId="Revize">
    <w:name w:val="Revision"/>
    <w:hidden/>
    <w:uiPriority w:val="99"/>
    <w:semiHidden/>
    <w:rsid w:val="0065437F"/>
    <w:pPr>
      <w:spacing w:after="0" w:line="240" w:lineRule="auto"/>
    </w:pPr>
    <w:rPr>
      <w:rFonts w:ascii="Calibri" w:hAnsi="Calibri" w:cs="Calibri"/>
    </w:rPr>
  </w:style>
  <w:style w:type="paragraph" w:styleId="Zhlav">
    <w:name w:val="header"/>
    <w:basedOn w:val="Normln"/>
    <w:link w:val="ZhlavChar"/>
    <w:uiPriority w:val="99"/>
    <w:unhideWhenUsed/>
    <w:rsid w:val="0064422B"/>
    <w:pPr>
      <w:tabs>
        <w:tab w:val="center" w:pos="4536"/>
        <w:tab w:val="right" w:pos="9072"/>
      </w:tabs>
    </w:pPr>
  </w:style>
  <w:style w:type="character" w:customStyle="1" w:styleId="ZhlavChar">
    <w:name w:val="Záhlaví Char"/>
    <w:basedOn w:val="Standardnpsmoodstavce"/>
    <w:link w:val="Zhlav"/>
    <w:uiPriority w:val="99"/>
    <w:rsid w:val="0064422B"/>
    <w:rPr>
      <w:rFonts w:ascii="Calibri" w:hAnsi="Calibri" w:cs="Calibri"/>
    </w:rPr>
  </w:style>
  <w:style w:type="paragraph" w:styleId="Zpat">
    <w:name w:val="footer"/>
    <w:basedOn w:val="Normln"/>
    <w:link w:val="ZpatChar"/>
    <w:uiPriority w:val="99"/>
    <w:unhideWhenUsed/>
    <w:rsid w:val="0064422B"/>
    <w:pPr>
      <w:tabs>
        <w:tab w:val="center" w:pos="4536"/>
        <w:tab w:val="right" w:pos="9072"/>
      </w:tabs>
    </w:pPr>
  </w:style>
  <w:style w:type="character" w:customStyle="1" w:styleId="ZpatChar">
    <w:name w:val="Zápatí Char"/>
    <w:basedOn w:val="Standardnpsmoodstavce"/>
    <w:link w:val="Zpat"/>
    <w:uiPriority w:val="99"/>
    <w:rsid w:val="0064422B"/>
    <w:rPr>
      <w:rFonts w:ascii="Calibri" w:hAnsi="Calibri" w:cs="Calibri"/>
    </w:rPr>
  </w:style>
  <w:style w:type="paragraph" w:styleId="Bezmezer">
    <w:name w:val="No Spacing"/>
    <w:uiPriority w:val="1"/>
    <w:qFormat/>
    <w:rsid w:val="009076D7"/>
    <w:pPr>
      <w:spacing w:after="0" w:line="240" w:lineRule="auto"/>
      <w:jc w:val="both"/>
    </w:pPr>
  </w:style>
  <w:style w:type="paragraph" w:styleId="Nadpisobsahu">
    <w:name w:val="TOC Heading"/>
    <w:basedOn w:val="Nadpis1"/>
    <w:next w:val="Normln"/>
    <w:uiPriority w:val="39"/>
    <w:unhideWhenUsed/>
    <w:qFormat/>
    <w:rsid w:val="0092539A"/>
    <w:pPr>
      <w:spacing w:line="259" w:lineRule="auto"/>
      <w:outlineLvl w:val="9"/>
    </w:pPr>
    <w:rPr>
      <w:lang w:eastAsia="cs-CZ"/>
    </w:rPr>
  </w:style>
  <w:style w:type="paragraph" w:styleId="Obsah2">
    <w:name w:val="toc 2"/>
    <w:basedOn w:val="Normln"/>
    <w:next w:val="Normln"/>
    <w:autoRedefine/>
    <w:uiPriority w:val="39"/>
    <w:unhideWhenUsed/>
    <w:rsid w:val="0092539A"/>
    <w:pPr>
      <w:spacing w:after="100" w:line="259" w:lineRule="auto"/>
      <w:ind w:left="220"/>
    </w:pPr>
    <w:rPr>
      <w:rFonts w:asciiTheme="minorHAnsi" w:eastAsiaTheme="minorEastAsia" w:hAnsiTheme="minorHAnsi" w:cs="Times New Roman"/>
      <w:lang w:eastAsia="cs-CZ"/>
    </w:rPr>
  </w:style>
  <w:style w:type="paragraph" w:styleId="Obsah1">
    <w:name w:val="toc 1"/>
    <w:basedOn w:val="Normln"/>
    <w:next w:val="Normln"/>
    <w:autoRedefine/>
    <w:uiPriority w:val="39"/>
    <w:unhideWhenUsed/>
    <w:rsid w:val="0092539A"/>
    <w:pPr>
      <w:spacing w:after="100" w:line="259" w:lineRule="auto"/>
    </w:pPr>
    <w:rPr>
      <w:rFonts w:asciiTheme="minorHAnsi" w:eastAsiaTheme="minorEastAsia" w:hAnsiTheme="minorHAnsi" w:cs="Times New Roman"/>
      <w:lang w:eastAsia="cs-CZ"/>
    </w:rPr>
  </w:style>
  <w:style w:type="paragraph" w:styleId="Obsah3">
    <w:name w:val="toc 3"/>
    <w:basedOn w:val="Normln"/>
    <w:next w:val="Normln"/>
    <w:autoRedefine/>
    <w:uiPriority w:val="39"/>
    <w:unhideWhenUsed/>
    <w:rsid w:val="0092539A"/>
    <w:pPr>
      <w:spacing w:after="100" w:line="259" w:lineRule="auto"/>
      <w:ind w:left="440"/>
    </w:pPr>
    <w:rPr>
      <w:rFonts w:asciiTheme="minorHAnsi" w:eastAsiaTheme="minorEastAsia" w:hAnsiTheme="minorHAnsi" w:cs="Times New Roman"/>
      <w:lang w:eastAsia="cs-CZ"/>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0" w:qFormat="1"/>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F04D83"/>
    <w:pPr>
      <w:spacing w:after="0" w:line="240" w:lineRule="auto"/>
    </w:pPr>
    <w:rPr>
      <w:rFonts w:ascii="Calibri" w:hAnsi="Calibri" w:cs="Calibri"/>
    </w:rPr>
  </w:style>
  <w:style w:type="paragraph" w:styleId="Nadpis1">
    <w:name w:val="heading 1"/>
    <w:basedOn w:val="Normln"/>
    <w:next w:val="Normln"/>
    <w:link w:val="Nadpis1Char"/>
    <w:uiPriority w:val="9"/>
    <w:qFormat/>
    <w:rsid w:val="00286BDE"/>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Nadpis2">
    <w:name w:val="heading 2"/>
    <w:basedOn w:val="Normln"/>
    <w:next w:val="Normln"/>
    <w:link w:val="Nadpis2Char"/>
    <w:uiPriority w:val="9"/>
    <w:unhideWhenUsed/>
    <w:qFormat/>
    <w:rsid w:val="00C403D2"/>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Nadpis3">
    <w:name w:val="heading 3"/>
    <w:basedOn w:val="Normln"/>
    <w:next w:val="Normln"/>
    <w:link w:val="Nadpis3Char"/>
    <w:uiPriority w:val="9"/>
    <w:semiHidden/>
    <w:unhideWhenUsed/>
    <w:qFormat/>
    <w:rsid w:val="00C403D2"/>
    <w:pPr>
      <w:keepNext/>
      <w:keepLines/>
      <w:spacing w:before="40"/>
      <w:outlineLvl w:val="2"/>
    </w:pPr>
    <w:rPr>
      <w:rFonts w:asciiTheme="majorHAnsi" w:eastAsiaTheme="majorEastAsia" w:hAnsiTheme="majorHAnsi" w:cstheme="majorBidi"/>
      <w:color w:val="1F4D78" w:themeColor="accent1" w:themeShade="7F"/>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Titulek">
    <w:name w:val="caption"/>
    <w:basedOn w:val="Normln"/>
    <w:unhideWhenUsed/>
    <w:qFormat/>
    <w:rsid w:val="00F04D83"/>
    <w:pPr>
      <w:spacing w:after="200"/>
      <w:jc w:val="both"/>
    </w:pPr>
    <w:rPr>
      <w:b/>
      <w:bCs/>
      <w:color w:val="4F81BD"/>
      <w:sz w:val="18"/>
      <w:szCs w:val="18"/>
    </w:rPr>
  </w:style>
  <w:style w:type="paragraph" w:styleId="Odstavecseseznamem">
    <w:name w:val="List Paragraph"/>
    <w:basedOn w:val="Normln"/>
    <w:uiPriority w:val="34"/>
    <w:qFormat/>
    <w:rsid w:val="00FF50F2"/>
    <w:pPr>
      <w:spacing w:after="200" w:line="276" w:lineRule="auto"/>
      <w:ind w:left="720"/>
      <w:contextualSpacing/>
      <w:jc w:val="both"/>
    </w:pPr>
    <w:rPr>
      <w:i/>
    </w:rPr>
  </w:style>
  <w:style w:type="paragraph" w:customStyle="1" w:styleId="otazka">
    <w:name w:val="otazka"/>
    <w:basedOn w:val="Normln"/>
    <w:next w:val="odpoved"/>
    <w:qFormat/>
    <w:rsid w:val="00065A04"/>
    <w:pPr>
      <w:keepNext/>
      <w:spacing w:before="360"/>
    </w:pPr>
  </w:style>
  <w:style w:type="paragraph" w:customStyle="1" w:styleId="odpoved">
    <w:name w:val="odpoved"/>
    <w:basedOn w:val="Odstavecseseznamem"/>
    <w:qFormat/>
    <w:rsid w:val="00604EA1"/>
    <w:rPr>
      <w:color w:val="4472C4" w:themeColor="accent5"/>
    </w:rPr>
  </w:style>
  <w:style w:type="character" w:customStyle="1" w:styleId="Nadpis1Char">
    <w:name w:val="Nadpis 1 Char"/>
    <w:basedOn w:val="Standardnpsmoodstavce"/>
    <w:link w:val="Nadpis1"/>
    <w:uiPriority w:val="9"/>
    <w:rsid w:val="00286BDE"/>
    <w:rPr>
      <w:rFonts w:asciiTheme="majorHAnsi" w:eastAsiaTheme="majorEastAsia" w:hAnsiTheme="majorHAnsi" w:cstheme="majorBidi"/>
      <w:color w:val="2E74B5" w:themeColor="accent1" w:themeShade="BF"/>
      <w:sz w:val="32"/>
      <w:szCs w:val="32"/>
    </w:rPr>
  </w:style>
  <w:style w:type="paragraph" w:styleId="Textbubliny">
    <w:name w:val="Balloon Text"/>
    <w:basedOn w:val="Normln"/>
    <w:link w:val="TextbublinyChar"/>
    <w:uiPriority w:val="99"/>
    <w:semiHidden/>
    <w:unhideWhenUsed/>
    <w:rsid w:val="002666EF"/>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2666EF"/>
    <w:rPr>
      <w:rFonts w:ascii="Segoe UI" w:hAnsi="Segoe UI" w:cs="Segoe UI"/>
      <w:sz w:val="18"/>
      <w:szCs w:val="18"/>
    </w:rPr>
  </w:style>
  <w:style w:type="paragraph" w:styleId="Textpoznpodarou">
    <w:name w:val="footnote text"/>
    <w:basedOn w:val="Normln"/>
    <w:link w:val="TextpoznpodarouChar"/>
    <w:uiPriority w:val="99"/>
    <w:semiHidden/>
    <w:unhideWhenUsed/>
    <w:rsid w:val="0079123E"/>
    <w:rPr>
      <w:sz w:val="20"/>
      <w:szCs w:val="20"/>
    </w:rPr>
  </w:style>
  <w:style w:type="character" w:customStyle="1" w:styleId="TextpoznpodarouChar">
    <w:name w:val="Text pozn. pod čarou Char"/>
    <w:basedOn w:val="Standardnpsmoodstavce"/>
    <w:link w:val="Textpoznpodarou"/>
    <w:uiPriority w:val="99"/>
    <w:semiHidden/>
    <w:rsid w:val="0079123E"/>
    <w:rPr>
      <w:rFonts w:ascii="Calibri" w:hAnsi="Calibri" w:cs="Calibri"/>
      <w:sz w:val="20"/>
      <w:szCs w:val="20"/>
    </w:rPr>
  </w:style>
  <w:style w:type="character" w:styleId="Znakapoznpodarou">
    <w:name w:val="footnote reference"/>
    <w:basedOn w:val="Standardnpsmoodstavce"/>
    <w:uiPriority w:val="99"/>
    <w:semiHidden/>
    <w:unhideWhenUsed/>
    <w:rsid w:val="0079123E"/>
    <w:rPr>
      <w:vertAlign w:val="superscript"/>
    </w:rPr>
  </w:style>
  <w:style w:type="character" w:styleId="Odkaznakoment">
    <w:name w:val="annotation reference"/>
    <w:basedOn w:val="Standardnpsmoodstavce"/>
    <w:semiHidden/>
    <w:unhideWhenUsed/>
    <w:rsid w:val="0079123E"/>
    <w:rPr>
      <w:sz w:val="16"/>
      <w:szCs w:val="16"/>
    </w:rPr>
  </w:style>
  <w:style w:type="paragraph" w:styleId="Textkomente">
    <w:name w:val="annotation text"/>
    <w:basedOn w:val="Normln"/>
    <w:link w:val="TextkomenteChar"/>
    <w:unhideWhenUsed/>
    <w:rsid w:val="0079123E"/>
    <w:rPr>
      <w:sz w:val="20"/>
      <w:szCs w:val="20"/>
    </w:rPr>
  </w:style>
  <w:style w:type="character" w:customStyle="1" w:styleId="TextkomenteChar">
    <w:name w:val="Text komentáře Char"/>
    <w:basedOn w:val="Standardnpsmoodstavce"/>
    <w:link w:val="Textkomente"/>
    <w:rsid w:val="0079123E"/>
    <w:rPr>
      <w:rFonts w:ascii="Calibri" w:hAnsi="Calibri" w:cs="Calibri"/>
      <w:sz w:val="20"/>
      <w:szCs w:val="20"/>
    </w:rPr>
  </w:style>
  <w:style w:type="paragraph" w:styleId="Pedmtkomente">
    <w:name w:val="annotation subject"/>
    <w:basedOn w:val="Textkomente"/>
    <w:next w:val="Textkomente"/>
    <w:link w:val="PedmtkomenteChar"/>
    <w:uiPriority w:val="99"/>
    <w:semiHidden/>
    <w:unhideWhenUsed/>
    <w:rsid w:val="0079123E"/>
    <w:rPr>
      <w:b/>
      <w:bCs/>
    </w:rPr>
  </w:style>
  <w:style w:type="character" w:customStyle="1" w:styleId="PedmtkomenteChar">
    <w:name w:val="Předmět komentáře Char"/>
    <w:basedOn w:val="TextkomenteChar"/>
    <w:link w:val="Pedmtkomente"/>
    <w:uiPriority w:val="99"/>
    <w:semiHidden/>
    <w:rsid w:val="0079123E"/>
    <w:rPr>
      <w:rFonts w:ascii="Calibri" w:hAnsi="Calibri" w:cs="Calibri"/>
      <w:b/>
      <w:bCs/>
      <w:sz w:val="20"/>
      <w:szCs w:val="20"/>
    </w:rPr>
  </w:style>
  <w:style w:type="table" w:styleId="Mkatabulky">
    <w:name w:val="Table Grid"/>
    <w:basedOn w:val="Normlntabulka"/>
    <w:uiPriority w:val="59"/>
    <w:rsid w:val="00A04B1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dpis2Char">
    <w:name w:val="Nadpis 2 Char"/>
    <w:basedOn w:val="Standardnpsmoodstavce"/>
    <w:link w:val="Nadpis2"/>
    <w:uiPriority w:val="9"/>
    <w:rsid w:val="00C403D2"/>
    <w:rPr>
      <w:rFonts w:asciiTheme="majorHAnsi" w:eastAsiaTheme="majorEastAsia" w:hAnsiTheme="majorHAnsi" w:cstheme="majorBidi"/>
      <w:color w:val="2E74B5" w:themeColor="accent1" w:themeShade="BF"/>
      <w:sz w:val="26"/>
      <w:szCs w:val="26"/>
    </w:rPr>
  </w:style>
  <w:style w:type="character" w:customStyle="1" w:styleId="Nadpis3Char">
    <w:name w:val="Nadpis 3 Char"/>
    <w:basedOn w:val="Standardnpsmoodstavce"/>
    <w:link w:val="Nadpis3"/>
    <w:uiPriority w:val="9"/>
    <w:semiHidden/>
    <w:rsid w:val="00C403D2"/>
    <w:rPr>
      <w:rFonts w:asciiTheme="majorHAnsi" w:eastAsiaTheme="majorEastAsia" w:hAnsiTheme="majorHAnsi" w:cstheme="majorBidi"/>
      <w:color w:val="1F4D78" w:themeColor="accent1" w:themeShade="7F"/>
      <w:sz w:val="24"/>
      <w:szCs w:val="24"/>
    </w:rPr>
  </w:style>
  <w:style w:type="paragraph" w:customStyle="1" w:styleId="EYBulletedList1">
    <w:name w:val="EY Bulleted List 1"/>
    <w:rsid w:val="00C403D2"/>
    <w:pPr>
      <w:numPr>
        <w:numId w:val="8"/>
      </w:numPr>
      <w:spacing w:after="0" w:line="240" w:lineRule="auto"/>
    </w:pPr>
    <w:rPr>
      <w:rFonts w:ascii="EYInterstate Light" w:eastAsia="Times New Roman" w:hAnsi="EYInterstate Light" w:cs="Times New Roman"/>
      <w:kern w:val="12"/>
      <w:sz w:val="20"/>
      <w:szCs w:val="24"/>
      <w:lang w:val="en-US"/>
    </w:rPr>
  </w:style>
  <w:style w:type="paragraph" w:customStyle="1" w:styleId="EYBulletedList2">
    <w:name w:val="EY Bulleted List 2"/>
    <w:rsid w:val="00C403D2"/>
    <w:pPr>
      <w:numPr>
        <w:ilvl w:val="1"/>
        <w:numId w:val="8"/>
      </w:numPr>
      <w:spacing w:after="0" w:line="240" w:lineRule="auto"/>
    </w:pPr>
    <w:rPr>
      <w:rFonts w:ascii="EYInterstate Light" w:eastAsia="Times New Roman" w:hAnsi="EYInterstate Light" w:cs="Times New Roman"/>
      <w:kern w:val="12"/>
      <w:sz w:val="20"/>
      <w:szCs w:val="24"/>
      <w:lang w:val="en-US"/>
    </w:rPr>
  </w:style>
  <w:style w:type="paragraph" w:customStyle="1" w:styleId="EYBulletedList3">
    <w:name w:val="EY Bulleted List 3"/>
    <w:rsid w:val="00C403D2"/>
    <w:pPr>
      <w:numPr>
        <w:ilvl w:val="2"/>
        <w:numId w:val="8"/>
      </w:numPr>
      <w:spacing w:after="0" w:line="240" w:lineRule="auto"/>
    </w:pPr>
    <w:rPr>
      <w:rFonts w:ascii="EYInterstate Light" w:eastAsia="Times New Roman" w:hAnsi="EYInterstate Light" w:cs="Times New Roman"/>
      <w:kern w:val="12"/>
      <w:sz w:val="20"/>
      <w:szCs w:val="24"/>
      <w:lang w:val="en-US"/>
    </w:rPr>
  </w:style>
  <w:style w:type="paragraph" w:customStyle="1" w:styleId="EYHeading1">
    <w:name w:val="EY Heading 1"/>
    <w:basedOn w:val="Normln"/>
    <w:next w:val="Normln"/>
    <w:rsid w:val="00C403D2"/>
    <w:pPr>
      <w:pageBreakBefore/>
      <w:numPr>
        <w:numId w:val="7"/>
      </w:numPr>
      <w:tabs>
        <w:tab w:val="clear" w:pos="0"/>
        <w:tab w:val="num" w:pos="170"/>
      </w:tabs>
      <w:spacing w:after="360"/>
      <w:ind w:left="170" w:hanging="170"/>
    </w:pPr>
    <w:rPr>
      <w:rFonts w:ascii="EYInterstate Regular" w:eastAsia="Times New Roman" w:hAnsi="EYInterstate Regular" w:cs="Times New Roman"/>
      <w:color w:val="808080"/>
      <w:kern w:val="12"/>
      <w:sz w:val="32"/>
      <w:szCs w:val="24"/>
      <w:lang w:val="en-US"/>
    </w:rPr>
  </w:style>
  <w:style w:type="paragraph" w:customStyle="1" w:styleId="EYHeading2">
    <w:name w:val="EY Heading 2"/>
    <w:basedOn w:val="EYHeading1"/>
    <w:next w:val="Normln"/>
    <w:rsid w:val="00C403D2"/>
    <w:pPr>
      <w:keepNext/>
      <w:pageBreakBefore w:val="0"/>
      <w:numPr>
        <w:ilvl w:val="1"/>
      </w:numPr>
      <w:tabs>
        <w:tab w:val="clear" w:pos="0"/>
        <w:tab w:val="num" w:pos="1440"/>
      </w:tabs>
      <w:spacing w:before="120" w:after="120"/>
      <w:ind w:left="1440" w:hanging="360"/>
      <w:outlineLvl w:val="1"/>
    </w:pPr>
    <w:rPr>
      <w:color w:val="auto"/>
      <w:sz w:val="28"/>
    </w:rPr>
  </w:style>
  <w:style w:type="paragraph" w:customStyle="1" w:styleId="EYHeading3">
    <w:name w:val="EY Heading 3"/>
    <w:basedOn w:val="EYHeading1"/>
    <w:next w:val="Normln"/>
    <w:rsid w:val="00C403D2"/>
    <w:pPr>
      <w:keepNext/>
      <w:pageBreakBefore w:val="0"/>
      <w:numPr>
        <w:ilvl w:val="2"/>
      </w:numPr>
      <w:tabs>
        <w:tab w:val="clear" w:pos="0"/>
        <w:tab w:val="num" w:pos="2160"/>
      </w:tabs>
      <w:spacing w:before="120" w:after="120"/>
      <w:ind w:left="2160" w:hanging="360"/>
      <w:outlineLvl w:val="2"/>
    </w:pPr>
    <w:rPr>
      <w:color w:val="auto"/>
      <w:sz w:val="26"/>
    </w:rPr>
  </w:style>
  <w:style w:type="paragraph" w:customStyle="1" w:styleId="EYHeading4">
    <w:name w:val="EY Heading 4"/>
    <w:basedOn w:val="EYHeading3"/>
    <w:rsid w:val="00C403D2"/>
    <w:pPr>
      <w:numPr>
        <w:ilvl w:val="3"/>
      </w:numPr>
      <w:tabs>
        <w:tab w:val="clear" w:pos="0"/>
        <w:tab w:val="num" w:pos="2880"/>
      </w:tabs>
      <w:ind w:left="2880" w:hanging="360"/>
      <w:outlineLvl w:val="3"/>
    </w:pPr>
    <w:rPr>
      <w:sz w:val="22"/>
    </w:rPr>
  </w:style>
  <w:style w:type="character" w:styleId="Hypertextovodkaz">
    <w:name w:val="Hyperlink"/>
    <w:basedOn w:val="Standardnpsmoodstavce"/>
    <w:uiPriority w:val="99"/>
    <w:rsid w:val="00C403D2"/>
    <w:rPr>
      <w:color w:val="0000FF"/>
      <w:u w:val="single"/>
    </w:rPr>
  </w:style>
  <w:style w:type="paragraph" w:customStyle="1" w:styleId="Bulleted1">
    <w:name w:val="Bulleted 1"/>
    <w:basedOn w:val="EYBulletedList1"/>
    <w:link w:val="Bulleted1Char"/>
    <w:qFormat/>
    <w:rsid w:val="00C403D2"/>
    <w:pPr>
      <w:spacing w:before="120" w:after="120"/>
      <w:jc w:val="both"/>
    </w:pPr>
  </w:style>
  <w:style w:type="paragraph" w:customStyle="1" w:styleId="Bulleted2">
    <w:name w:val="Bulleted 2"/>
    <w:basedOn w:val="EYBulletedList2"/>
    <w:link w:val="Bulleted2Char"/>
    <w:qFormat/>
    <w:rsid w:val="00C403D2"/>
    <w:pPr>
      <w:spacing w:before="120" w:after="120" w:line="480" w:lineRule="auto"/>
      <w:ind w:hanging="289"/>
    </w:pPr>
  </w:style>
  <w:style w:type="character" w:customStyle="1" w:styleId="Bulleted1Char">
    <w:name w:val="Bulleted 1 Char"/>
    <w:basedOn w:val="Standardnpsmoodstavce"/>
    <w:link w:val="Bulleted1"/>
    <w:rsid w:val="00C403D2"/>
    <w:rPr>
      <w:rFonts w:ascii="EYInterstate Light" w:eastAsia="Times New Roman" w:hAnsi="EYInterstate Light" w:cs="Times New Roman"/>
      <w:kern w:val="12"/>
      <w:sz w:val="20"/>
      <w:szCs w:val="24"/>
      <w:lang w:val="en-US"/>
    </w:rPr>
  </w:style>
  <w:style w:type="character" w:customStyle="1" w:styleId="Bulleted2Char">
    <w:name w:val="Bulleted 2 Char"/>
    <w:basedOn w:val="Standardnpsmoodstavce"/>
    <w:link w:val="Bulleted2"/>
    <w:rsid w:val="00C403D2"/>
    <w:rPr>
      <w:rFonts w:ascii="EYInterstate Light" w:eastAsia="Times New Roman" w:hAnsi="EYInterstate Light" w:cs="Times New Roman"/>
      <w:kern w:val="12"/>
      <w:sz w:val="20"/>
      <w:szCs w:val="24"/>
      <w:lang w:val="en-US"/>
    </w:rPr>
  </w:style>
  <w:style w:type="paragraph" w:customStyle="1" w:styleId="Footnote">
    <w:name w:val="Footnote"/>
    <w:link w:val="FootnoteChar"/>
    <w:qFormat/>
    <w:rsid w:val="00C403D2"/>
    <w:pPr>
      <w:spacing w:before="60" w:after="60" w:line="240" w:lineRule="auto"/>
    </w:pPr>
    <w:rPr>
      <w:rFonts w:ascii="EYInterstate Light" w:eastAsia="Times New Roman" w:hAnsi="EYInterstate Light" w:cs="Times New Roman"/>
      <w:i/>
      <w:kern w:val="12"/>
      <w:sz w:val="16"/>
      <w:szCs w:val="24"/>
      <w:lang w:val="en-US"/>
    </w:rPr>
  </w:style>
  <w:style w:type="character" w:customStyle="1" w:styleId="FootnoteChar">
    <w:name w:val="Footnote Char"/>
    <w:basedOn w:val="Standardnpsmoodstavce"/>
    <w:link w:val="Footnote"/>
    <w:rsid w:val="00C403D2"/>
    <w:rPr>
      <w:rFonts w:ascii="EYInterstate Light" w:eastAsia="Times New Roman" w:hAnsi="EYInterstate Light" w:cs="Times New Roman"/>
      <w:i/>
      <w:kern w:val="12"/>
      <w:sz w:val="16"/>
      <w:szCs w:val="24"/>
      <w:lang w:val="en-US"/>
    </w:rPr>
  </w:style>
  <w:style w:type="character" w:styleId="Sledovanodkaz">
    <w:name w:val="FollowedHyperlink"/>
    <w:basedOn w:val="Standardnpsmoodstavce"/>
    <w:uiPriority w:val="99"/>
    <w:semiHidden/>
    <w:unhideWhenUsed/>
    <w:rsid w:val="00C403D2"/>
    <w:rPr>
      <w:color w:val="954F72" w:themeColor="followedHyperlink"/>
      <w:u w:val="single"/>
    </w:rPr>
  </w:style>
  <w:style w:type="paragraph" w:styleId="Revize">
    <w:name w:val="Revision"/>
    <w:hidden/>
    <w:uiPriority w:val="99"/>
    <w:semiHidden/>
    <w:rsid w:val="0065437F"/>
    <w:pPr>
      <w:spacing w:after="0" w:line="240" w:lineRule="auto"/>
    </w:pPr>
    <w:rPr>
      <w:rFonts w:ascii="Calibri" w:hAnsi="Calibri" w:cs="Calibri"/>
    </w:rPr>
  </w:style>
  <w:style w:type="paragraph" w:styleId="Zhlav">
    <w:name w:val="header"/>
    <w:basedOn w:val="Normln"/>
    <w:link w:val="ZhlavChar"/>
    <w:uiPriority w:val="99"/>
    <w:unhideWhenUsed/>
    <w:rsid w:val="0064422B"/>
    <w:pPr>
      <w:tabs>
        <w:tab w:val="center" w:pos="4536"/>
        <w:tab w:val="right" w:pos="9072"/>
      </w:tabs>
    </w:pPr>
  </w:style>
  <w:style w:type="character" w:customStyle="1" w:styleId="ZhlavChar">
    <w:name w:val="Záhlaví Char"/>
    <w:basedOn w:val="Standardnpsmoodstavce"/>
    <w:link w:val="Zhlav"/>
    <w:uiPriority w:val="99"/>
    <w:rsid w:val="0064422B"/>
    <w:rPr>
      <w:rFonts w:ascii="Calibri" w:hAnsi="Calibri" w:cs="Calibri"/>
    </w:rPr>
  </w:style>
  <w:style w:type="paragraph" w:styleId="Zpat">
    <w:name w:val="footer"/>
    <w:basedOn w:val="Normln"/>
    <w:link w:val="ZpatChar"/>
    <w:uiPriority w:val="99"/>
    <w:unhideWhenUsed/>
    <w:rsid w:val="0064422B"/>
    <w:pPr>
      <w:tabs>
        <w:tab w:val="center" w:pos="4536"/>
        <w:tab w:val="right" w:pos="9072"/>
      </w:tabs>
    </w:pPr>
  </w:style>
  <w:style w:type="character" w:customStyle="1" w:styleId="ZpatChar">
    <w:name w:val="Zápatí Char"/>
    <w:basedOn w:val="Standardnpsmoodstavce"/>
    <w:link w:val="Zpat"/>
    <w:uiPriority w:val="99"/>
    <w:rsid w:val="0064422B"/>
    <w:rPr>
      <w:rFonts w:ascii="Calibri" w:hAnsi="Calibri" w:cs="Calibri"/>
    </w:rPr>
  </w:style>
  <w:style w:type="paragraph" w:styleId="Bezmezer">
    <w:name w:val="No Spacing"/>
    <w:uiPriority w:val="1"/>
    <w:qFormat/>
    <w:rsid w:val="009076D7"/>
    <w:pPr>
      <w:spacing w:after="0" w:line="240" w:lineRule="auto"/>
      <w:jc w:val="both"/>
    </w:pPr>
  </w:style>
  <w:style w:type="paragraph" w:styleId="Nadpisobsahu">
    <w:name w:val="TOC Heading"/>
    <w:basedOn w:val="Nadpis1"/>
    <w:next w:val="Normln"/>
    <w:uiPriority w:val="39"/>
    <w:unhideWhenUsed/>
    <w:qFormat/>
    <w:rsid w:val="0092539A"/>
    <w:pPr>
      <w:spacing w:line="259" w:lineRule="auto"/>
      <w:outlineLvl w:val="9"/>
    </w:pPr>
    <w:rPr>
      <w:lang w:eastAsia="cs-CZ"/>
    </w:rPr>
  </w:style>
  <w:style w:type="paragraph" w:styleId="Obsah2">
    <w:name w:val="toc 2"/>
    <w:basedOn w:val="Normln"/>
    <w:next w:val="Normln"/>
    <w:autoRedefine/>
    <w:uiPriority w:val="39"/>
    <w:unhideWhenUsed/>
    <w:rsid w:val="0092539A"/>
    <w:pPr>
      <w:spacing w:after="100" w:line="259" w:lineRule="auto"/>
      <w:ind w:left="220"/>
    </w:pPr>
    <w:rPr>
      <w:rFonts w:asciiTheme="minorHAnsi" w:eastAsiaTheme="minorEastAsia" w:hAnsiTheme="minorHAnsi" w:cs="Times New Roman"/>
      <w:lang w:eastAsia="cs-CZ"/>
    </w:rPr>
  </w:style>
  <w:style w:type="paragraph" w:styleId="Obsah1">
    <w:name w:val="toc 1"/>
    <w:basedOn w:val="Normln"/>
    <w:next w:val="Normln"/>
    <w:autoRedefine/>
    <w:uiPriority w:val="39"/>
    <w:unhideWhenUsed/>
    <w:rsid w:val="0092539A"/>
    <w:pPr>
      <w:spacing w:after="100" w:line="259" w:lineRule="auto"/>
    </w:pPr>
    <w:rPr>
      <w:rFonts w:asciiTheme="minorHAnsi" w:eastAsiaTheme="minorEastAsia" w:hAnsiTheme="minorHAnsi" w:cs="Times New Roman"/>
      <w:lang w:eastAsia="cs-CZ"/>
    </w:rPr>
  </w:style>
  <w:style w:type="paragraph" w:styleId="Obsah3">
    <w:name w:val="toc 3"/>
    <w:basedOn w:val="Normln"/>
    <w:next w:val="Normln"/>
    <w:autoRedefine/>
    <w:uiPriority w:val="39"/>
    <w:unhideWhenUsed/>
    <w:rsid w:val="0092539A"/>
    <w:pPr>
      <w:spacing w:after="100" w:line="259" w:lineRule="auto"/>
      <w:ind w:left="440"/>
    </w:pPr>
    <w:rPr>
      <w:rFonts w:asciiTheme="minorHAnsi" w:eastAsiaTheme="minorEastAsia" w:hAnsiTheme="minorHAnsi" w:cs="Times New Roman"/>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09469481">
      <w:bodyDiv w:val="1"/>
      <w:marLeft w:val="0"/>
      <w:marRight w:val="0"/>
      <w:marTop w:val="0"/>
      <w:marBottom w:val="0"/>
      <w:divBdr>
        <w:top w:val="none" w:sz="0" w:space="0" w:color="auto"/>
        <w:left w:val="none" w:sz="0" w:space="0" w:color="auto"/>
        <w:bottom w:val="none" w:sz="0" w:space="0" w:color="auto"/>
        <w:right w:val="none" w:sz="0" w:space="0" w:color="auto"/>
      </w:divBdr>
    </w:div>
    <w:div w:id="633370710">
      <w:bodyDiv w:val="1"/>
      <w:marLeft w:val="0"/>
      <w:marRight w:val="0"/>
      <w:marTop w:val="0"/>
      <w:marBottom w:val="0"/>
      <w:divBdr>
        <w:top w:val="none" w:sz="0" w:space="0" w:color="auto"/>
        <w:left w:val="none" w:sz="0" w:space="0" w:color="auto"/>
        <w:bottom w:val="none" w:sz="0" w:space="0" w:color="auto"/>
        <w:right w:val="none" w:sz="0" w:space="0" w:color="auto"/>
      </w:divBdr>
    </w:div>
    <w:div w:id="1140925776">
      <w:bodyDiv w:val="1"/>
      <w:marLeft w:val="0"/>
      <w:marRight w:val="0"/>
      <w:marTop w:val="0"/>
      <w:marBottom w:val="0"/>
      <w:divBdr>
        <w:top w:val="none" w:sz="0" w:space="0" w:color="auto"/>
        <w:left w:val="none" w:sz="0" w:space="0" w:color="auto"/>
        <w:bottom w:val="none" w:sz="0" w:space="0" w:color="auto"/>
        <w:right w:val="none" w:sz="0" w:space="0" w:color="auto"/>
      </w:divBdr>
    </w:div>
    <w:div w:id="1456367375">
      <w:bodyDiv w:val="1"/>
      <w:marLeft w:val="0"/>
      <w:marRight w:val="0"/>
      <w:marTop w:val="0"/>
      <w:marBottom w:val="0"/>
      <w:divBdr>
        <w:top w:val="none" w:sz="0" w:space="0" w:color="auto"/>
        <w:left w:val="none" w:sz="0" w:space="0" w:color="auto"/>
        <w:bottom w:val="none" w:sz="0" w:space="0" w:color="auto"/>
        <w:right w:val="none" w:sz="0" w:space="0" w:color="auto"/>
      </w:divBdr>
    </w:div>
    <w:div w:id="19707477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4.png"/><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image" Target="media/image3.png"/><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chart" Target="charts/chart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cid:image003.png@01D22874.92E78710" TargetMode="External"/><Relationship Id="rId5" Type="http://schemas.openxmlformats.org/officeDocument/2006/relationships/settings" Target="settings.xml"/><Relationship Id="rId15" Type="http://schemas.openxmlformats.org/officeDocument/2006/relationships/hyperlink" Target="http://energitilsynet.dk/gas/afgoerelser/" TargetMode="External"/><Relationship Id="rId10" Type="http://schemas.openxmlformats.org/officeDocument/2006/relationships/image" Target="media/image2.png"/><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chart" Target="charts/chart1.xml"/></Relationships>
</file>

<file path=word/charts/_rels/chart1.xml.rels><?xml version="1.0" encoding="UTF-8" standalone="yes"?>
<Relationships xmlns="http://schemas.openxmlformats.org/package/2006/relationships"><Relationship Id="rId3" Type="http://schemas.microsoft.com/office/2011/relationships/chartStyle" Target="style1.xml"/><Relationship Id="rId2" Type="http://schemas.microsoft.com/office/2011/relationships/chartColorStyle" Target="colors1.xml"/><Relationship Id="rId1" Type="http://schemas.openxmlformats.org/officeDocument/2006/relationships/oleObject" Target="file:///\\rwegroup.cz\rwecz\groups-gst\GS_REGULATORY_AFFAIRS\Regulatory%20Affairs\15_Internal%20documents\Pokro&#269;il&#225;%20virtualizace\Graf%20cen%20OTE%20vs.%20NCG.xlsx" TargetMode="External"/></Relationships>
</file>

<file path=word/charts/_rels/chart2.xml.rels><?xml version="1.0" encoding="UTF-8" standalone="yes"?>
<Relationships xmlns="http://schemas.openxmlformats.org/package/2006/relationships"><Relationship Id="rId3" Type="http://schemas.microsoft.com/office/2011/relationships/chartStyle" Target="style2.xml"/><Relationship Id="rId2" Type="http://schemas.microsoft.com/office/2011/relationships/chartColorStyle" Target="colors2.xml"/><Relationship Id="rId1" Type="http://schemas.openxmlformats.org/officeDocument/2006/relationships/oleObject" Target="file:///\\rwegroup.cz\rwecz\groups-gst\GS_REGULATORY_AFFAIRS\Regulatory%20Affairs\15_Internal%20documents\Pokro&#269;il&#225;%20virtualizace\Dostupn&#225;%20kapacita%20v%20pr&#367;b&#283;hu%20roku.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cs-CZ"/>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a:t>Srovn</a:t>
            </a:r>
            <a:r>
              <a:rPr lang="cs-CZ"/>
              <a:t>ání</a:t>
            </a:r>
            <a:r>
              <a:rPr lang="cs-CZ" baseline="0"/>
              <a:t> cen OTE a NCG</a:t>
            </a:r>
            <a:endParaRPr lang="cs-CZ"/>
          </a:p>
        </c:rich>
      </c:tx>
      <c:layout>
        <c:manualLayout>
          <c:xMode val="edge"/>
          <c:yMode val="edge"/>
          <c:x val="0.30979155730533681"/>
          <c:y val="5.0925925925925923E-2"/>
        </c:manualLayout>
      </c:layout>
      <c:overlay val="0"/>
      <c:spPr>
        <a:noFill/>
        <a:ln>
          <a:noFill/>
        </a:ln>
        <a:effectLst/>
      </c:spPr>
    </c:title>
    <c:autoTitleDeleted val="0"/>
    <c:plotArea>
      <c:layout/>
      <c:barChart>
        <c:barDir val="col"/>
        <c:grouping val="clustered"/>
        <c:varyColors val="0"/>
        <c:ser>
          <c:idx val="0"/>
          <c:order val="0"/>
          <c:tx>
            <c:strRef>
              <c:f>List1!$H$13</c:f>
              <c:strCache>
                <c:ptCount val="1"/>
                <c:pt idx="0">
                  <c:v>NCG</c:v>
                </c:pt>
              </c:strCache>
            </c:strRef>
          </c:tx>
          <c:spPr>
            <a:solidFill>
              <a:schemeClr val="accent1"/>
            </a:solidFill>
            <a:ln>
              <a:noFill/>
            </a:ln>
            <a:effectLst/>
          </c:spPr>
          <c:invertIfNegative val="0"/>
          <c:cat>
            <c:numRef>
              <c:f>List1!$I$16:$AM$16</c:f>
              <c:numCache>
                <c:formatCode>m/d/yyyy</c:formatCode>
                <c:ptCount val="30"/>
                <c:pt idx="0">
                  <c:v>42737</c:v>
                </c:pt>
                <c:pt idx="1">
                  <c:v>42738</c:v>
                </c:pt>
                <c:pt idx="2">
                  <c:v>42739</c:v>
                </c:pt>
                <c:pt idx="3">
                  <c:v>42740</c:v>
                </c:pt>
                <c:pt idx="4">
                  <c:v>42741</c:v>
                </c:pt>
                <c:pt idx="5">
                  <c:v>42742</c:v>
                </c:pt>
                <c:pt idx="6">
                  <c:v>42743</c:v>
                </c:pt>
                <c:pt idx="7">
                  <c:v>42744</c:v>
                </c:pt>
                <c:pt idx="8">
                  <c:v>42745</c:v>
                </c:pt>
                <c:pt idx="9">
                  <c:v>42746</c:v>
                </c:pt>
                <c:pt idx="10">
                  <c:v>42747</c:v>
                </c:pt>
                <c:pt idx="11">
                  <c:v>42748</c:v>
                </c:pt>
                <c:pt idx="12">
                  <c:v>42749</c:v>
                </c:pt>
                <c:pt idx="13">
                  <c:v>42750</c:v>
                </c:pt>
                <c:pt idx="14">
                  <c:v>42751</c:v>
                </c:pt>
                <c:pt idx="15">
                  <c:v>42752</c:v>
                </c:pt>
                <c:pt idx="16">
                  <c:v>42753</c:v>
                </c:pt>
                <c:pt idx="17">
                  <c:v>42754</c:v>
                </c:pt>
                <c:pt idx="18">
                  <c:v>42755</c:v>
                </c:pt>
                <c:pt idx="19">
                  <c:v>42756</c:v>
                </c:pt>
                <c:pt idx="20">
                  <c:v>42757</c:v>
                </c:pt>
                <c:pt idx="21">
                  <c:v>42758</c:v>
                </c:pt>
                <c:pt idx="22">
                  <c:v>42759</c:v>
                </c:pt>
                <c:pt idx="23">
                  <c:v>42760</c:v>
                </c:pt>
                <c:pt idx="24">
                  <c:v>42761</c:v>
                </c:pt>
                <c:pt idx="25">
                  <c:v>42762</c:v>
                </c:pt>
                <c:pt idx="26">
                  <c:v>42763</c:v>
                </c:pt>
                <c:pt idx="27">
                  <c:v>42764</c:v>
                </c:pt>
                <c:pt idx="28">
                  <c:v>42765</c:v>
                </c:pt>
                <c:pt idx="29">
                  <c:v>42766</c:v>
                </c:pt>
              </c:numCache>
            </c:numRef>
          </c:cat>
          <c:val>
            <c:numRef>
              <c:f>List1!$H$13:$AM$13</c:f>
              <c:numCache>
                <c:formatCode>General</c:formatCode>
                <c:ptCount val="31"/>
                <c:pt idx="0">
                  <c:v>19.632999999999999</c:v>
                </c:pt>
                <c:pt idx="1">
                  <c:v>20.405000000000001</c:v>
                </c:pt>
                <c:pt idx="2">
                  <c:v>19.582000000000001</c:v>
                </c:pt>
                <c:pt idx="3">
                  <c:v>18.942</c:v>
                </c:pt>
                <c:pt idx="4">
                  <c:v>19.035</c:v>
                </c:pt>
                <c:pt idx="5">
                  <c:v>19.297000000000001</c:v>
                </c:pt>
                <c:pt idx="6">
                  <c:v>19.061</c:v>
                </c:pt>
                <c:pt idx="7">
                  <c:v>19.045999999999999</c:v>
                </c:pt>
                <c:pt idx="8">
                  <c:v>19.149000000000001</c:v>
                </c:pt>
                <c:pt idx="9">
                  <c:v>19.420000000000002</c:v>
                </c:pt>
                <c:pt idx="10">
                  <c:v>20.221</c:v>
                </c:pt>
                <c:pt idx="11">
                  <c:v>20.597000000000001</c:v>
                </c:pt>
                <c:pt idx="12">
                  <c:v>21.088999999999999</c:v>
                </c:pt>
                <c:pt idx="13">
                  <c:v>17.460999999999999</c:v>
                </c:pt>
                <c:pt idx="14">
                  <c:v>17.367000000000001</c:v>
                </c:pt>
                <c:pt idx="15">
                  <c:v>17.643000000000001</c:v>
                </c:pt>
                <c:pt idx="16">
                  <c:v>17.548999999999999</c:v>
                </c:pt>
                <c:pt idx="17">
                  <c:v>17.54</c:v>
                </c:pt>
                <c:pt idx="18">
                  <c:v>17.811</c:v>
                </c:pt>
                <c:pt idx="19">
                  <c:v>17.864000000000001</c:v>
                </c:pt>
                <c:pt idx="20">
                  <c:v>18.035</c:v>
                </c:pt>
                <c:pt idx="21">
                  <c:v>17.995999999999999</c:v>
                </c:pt>
                <c:pt idx="22">
                  <c:v>18.213000000000001</c:v>
                </c:pt>
                <c:pt idx="23">
                  <c:v>17.984999999999999</c:v>
                </c:pt>
                <c:pt idx="24">
                  <c:v>17.853000000000002</c:v>
                </c:pt>
                <c:pt idx="25">
                  <c:v>17.792000000000002</c:v>
                </c:pt>
                <c:pt idx="26">
                  <c:v>18.026</c:v>
                </c:pt>
                <c:pt idx="27">
                  <c:v>18.367999999999999</c:v>
                </c:pt>
                <c:pt idx="28">
                  <c:v>18.786999999999999</c:v>
                </c:pt>
                <c:pt idx="29">
                  <c:v>19.331</c:v>
                </c:pt>
                <c:pt idx="30">
                  <c:v>19.562000000000001</c:v>
                </c:pt>
              </c:numCache>
            </c:numRef>
          </c:val>
        </c:ser>
        <c:dLbls>
          <c:showLegendKey val="0"/>
          <c:showVal val="0"/>
          <c:showCatName val="0"/>
          <c:showSerName val="0"/>
          <c:showPercent val="0"/>
          <c:showBubbleSize val="0"/>
        </c:dLbls>
        <c:gapWidth val="150"/>
        <c:axId val="150484480"/>
        <c:axId val="150486016"/>
        <c:extLst>
          <c:ext xmlns:c15="http://schemas.microsoft.com/office/drawing/2012/chart" uri="{02D57815-91ED-43cb-92C2-25804820EDAC}">
            <c15:filteredBarSeries>
              <c15:ser>
                <c:idx val="2"/>
                <c:order val="2"/>
                <c:spPr>
                  <a:solidFill>
                    <a:schemeClr val="accent3"/>
                  </a:solidFill>
                  <a:ln>
                    <a:noFill/>
                  </a:ln>
                  <a:effectLst/>
                </c:spPr>
                <c:invertIfNegative val="0"/>
                <c:cat>
                  <c:numRef>
                    <c:extLst>
                      <c:ext uri="{02D57815-91ED-43cb-92C2-25804820EDAC}">
                        <c15:formulaRef>
                          <c15:sqref>List1!$I$16:$AM$16</c15:sqref>
                        </c15:formulaRef>
                      </c:ext>
                    </c:extLst>
                    <c:numCache>
                      <c:formatCode>m/d/yyyy</c:formatCode>
                      <c:ptCount val="30"/>
                      <c:pt idx="0">
                        <c:v>42737</c:v>
                      </c:pt>
                      <c:pt idx="1">
                        <c:v>42738</c:v>
                      </c:pt>
                      <c:pt idx="2">
                        <c:v>42739</c:v>
                      </c:pt>
                      <c:pt idx="3">
                        <c:v>42740</c:v>
                      </c:pt>
                      <c:pt idx="4">
                        <c:v>42741</c:v>
                      </c:pt>
                      <c:pt idx="5">
                        <c:v>42742</c:v>
                      </c:pt>
                      <c:pt idx="6">
                        <c:v>42743</c:v>
                      </c:pt>
                      <c:pt idx="7">
                        <c:v>42744</c:v>
                      </c:pt>
                      <c:pt idx="8">
                        <c:v>42745</c:v>
                      </c:pt>
                      <c:pt idx="9">
                        <c:v>42746</c:v>
                      </c:pt>
                      <c:pt idx="10">
                        <c:v>42747</c:v>
                      </c:pt>
                      <c:pt idx="11">
                        <c:v>42748</c:v>
                      </c:pt>
                      <c:pt idx="12">
                        <c:v>42749</c:v>
                      </c:pt>
                      <c:pt idx="13">
                        <c:v>42750</c:v>
                      </c:pt>
                      <c:pt idx="14">
                        <c:v>42751</c:v>
                      </c:pt>
                      <c:pt idx="15">
                        <c:v>42752</c:v>
                      </c:pt>
                      <c:pt idx="16">
                        <c:v>42753</c:v>
                      </c:pt>
                      <c:pt idx="17">
                        <c:v>42754</c:v>
                      </c:pt>
                      <c:pt idx="18">
                        <c:v>42755</c:v>
                      </c:pt>
                      <c:pt idx="19">
                        <c:v>42756</c:v>
                      </c:pt>
                      <c:pt idx="20">
                        <c:v>42757</c:v>
                      </c:pt>
                      <c:pt idx="21">
                        <c:v>42758</c:v>
                      </c:pt>
                      <c:pt idx="22">
                        <c:v>42759</c:v>
                      </c:pt>
                      <c:pt idx="23">
                        <c:v>42760</c:v>
                      </c:pt>
                      <c:pt idx="24">
                        <c:v>42761</c:v>
                      </c:pt>
                      <c:pt idx="25">
                        <c:v>42762</c:v>
                      </c:pt>
                      <c:pt idx="26">
                        <c:v>42763</c:v>
                      </c:pt>
                      <c:pt idx="27">
                        <c:v>42764</c:v>
                      </c:pt>
                      <c:pt idx="28">
                        <c:v>42765</c:v>
                      </c:pt>
                      <c:pt idx="29">
                        <c:v>42766</c:v>
                      </c:pt>
                    </c:numCache>
                  </c:numRef>
                </c:cat>
                <c:val>
                  <c:numRef>
                    <c:extLst>
                      <c:ext uri="{02D57815-91ED-43cb-92C2-25804820EDAC}">
                        <c15:formulaRef>
                          <c15:sqref>List1!$H$16:$AM$16</c15:sqref>
                        </c15:formulaRef>
                      </c:ext>
                    </c:extLst>
                    <c:numCache>
                      <c:formatCode>m/d/yyyy</c:formatCode>
                      <c:ptCount val="31"/>
                      <c:pt idx="0">
                        <c:v>42736</c:v>
                      </c:pt>
                      <c:pt idx="1">
                        <c:v>42737</c:v>
                      </c:pt>
                      <c:pt idx="2">
                        <c:v>42738</c:v>
                      </c:pt>
                      <c:pt idx="3">
                        <c:v>42739</c:v>
                      </c:pt>
                      <c:pt idx="4">
                        <c:v>42740</c:v>
                      </c:pt>
                      <c:pt idx="5">
                        <c:v>42741</c:v>
                      </c:pt>
                      <c:pt idx="6">
                        <c:v>42742</c:v>
                      </c:pt>
                      <c:pt idx="7">
                        <c:v>42743</c:v>
                      </c:pt>
                      <c:pt idx="8">
                        <c:v>42744</c:v>
                      </c:pt>
                      <c:pt idx="9">
                        <c:v>42745</c:v>
                      </c:pt>
                      <c:pt idx="10">
                        <c:v>42746</c:v>
                      </c:pt>
                      <c:pt idx="11">
                        <c:v>42747</c:v>
                      </c:pt>
                      <c:pt idx="12">
                        <c:v>42748</c:v>
                      </c:pt>
                      <c:pt idx="13">
                        <c:v>42749</c:v>
                      </c:pt>
                      <c:pt idx="14">
                        <c:v>42750</c:v>
                      </c:pt>
                      <c:pt idx="15">
                        <c:v>42751</c:v>
                      </c:pt>
                      <c:pt idx="16">
                        <c:v>42752</c:v>
                      </c:pt>
                      <c:pt idx="17">
                        <c:v>42753</c:v>
                      </c:pt>
                      <c:pt idx="18">
                        <c:v>42754</c:v>
                      </c:pt>
                      <c:pt idx="19">
                        <c:v>42755</c:v>
                      </c:pt>
                      <c:pt idx="20">
                        <c:v>42756</c:v>
                      </c:pt>
                      <c:pt idx="21">
                        <c:v>42757</c:v>
                      </c:pt>
                      <c:pt idx="22">
                        <c:v>42758</c:v>
                      </c:pt>
                      <c:pt idx="23">
                        <c:v>42759</c:v>
                      </c:pt>
                      <c:pt idx="24">
                        <c:v>42760</c:v>
                      </c:pt>
                      <c:pt idx="25">
                        <c:v>42761</c:v>
                      </c:pt>
                      <c:pt idx="26">
                        <c:v>42762</c:v>
                      </c:pt>
                      <c:pt idx="27">
                        <c:v>42763</c:v>
                      </c:pt>
                      <c:pt idx="28">
                        <c:v>42764</c:v>
                      </c:pt>
                      <c:pt idx="29">
                        <c:v>42765</c:v>
                      </c:pt>
                      <c:pt idx="30">
                        <c:v>42766</c:v>
                      </c:pt>
                    </c:numCache>
                  </c:numRef>
                </c:val>
              </c15:ser>
            </c15:filteredBarSeries>
          </c:ext>
        </c:extLst>
      </c:barChart>
      <c:lineChart>
        <c:grouping val="standard"/>
        <c:varyColors val="0"/>
        <c:ser>
          <c:idx val="1"/>
          <c:order val="1"/>
          <c:tx>
            <c:strRef>
              <c:f>List1!$H$14</c:f>
              <c:strCache>
                <c:ptCount val="1"/>
                <c:pt idx="0">
                  <c:v>OTE</c:v>
                </c:pt>
              </c:strCache>
            </c:strRef>
          </c:tx>
          <c:spPr>
            <a:ln w="28575" cap="rnd">
              <a:solidFill>
                <a:schemeClr val="accent2"/>
              </a:solidFill>
              <a:round/>
            </a:ln>
            <a:effectLst/>
          </c:spPr>
          <c:marker>
            <c:symbol val="none"/>
          </c:marker>
          <c:cat>
            <c:numRef>
              <c:f>List1!$I$16:$AM$16</c:f>
              <c:numCache>
                <c:formatCode>m/d/yyyy</c:formatCode>
                <c:ptCount val="30"/>
                <c:pt idx="0">
                  <c:v>42737</c:v>
                </c:pt>
                <c:pt idx="1">
                  <c:v>42738</c:v>
                </c:pt>
                <c:pt idx="2">
                  <c:v>42739</c:v>
                </c:pt>
                <c:pt idx="3">
                  <c:v>42740</c:v>
                </c:pt>
                <c:pt idx="4">
                  <c:v>42741</c:v>
                </c:pt>
                <c:pt idx="5">
                  <c:v>42742</c:v>
                </c:pt>
                <c:pt idx="6">
                  <c:v>42743</c:v>
                </c:pt>
                <c:pt idx="7">
                  <c:v>42744</c:v>
                </c:pt>
                <c:pt idx="8">
                  <c:v>42745</c:v>
                </c:pt>
                <c:pt idx="9">
                  <c:v>42746</c:v>
                </c:pt>
                <c:pt idx="10">
                  <c:v>42747</c:v>
                </c:pt>
                <c:pt idx="11">
                  <c:v>42748</c:v>
                </c:pt>
                <c:pt idx="12">
                  <c:v>42749</c:v>
                </c:pt>
                <c:pt idx="13">
                  <c:v>42750</c:v>
                </c:pt>
                <c:pt idx="14">
                  <c:v>42751</c:v>
                </c:pt>
                <c:pt idx="15">
                  <c:v>42752</c:v>
                </c:pt>
                <c:pt idx="16">
                  <c:v>42753</c:v>
                </c:pt>
                <c:pt idx="17">
                  <c:v>42754</c:v>
                </c:pt>
                <c:pt idx="18">
                  <c:v>42755</c:v>
                </c:pt>
                <c:pt idx="19">
                  <c:v>42756</c:v>
                </c:pt>
                <c:pt idx="20">
                  <c:v>42757</c:v>
                </c:pt>
                <c:pt idx="21">
                  <c:v>42758</c:v>
                </c:pt>
                <c:pt idx="22">
                  <c:v>42759</c:v>
                </c:pt>
                <c:pt idx="23">
                  <c:v>42760</c:v>
                </c:pt>
                <c:pt idx="24">
                  <c:v>42761</c:v>
                </c:pt>
                <c:pt idx="25">
                  <c:v>42762</c:v>
                </c:pt>
                <c:pt idx="26">
                  <c:v>42763</c:v>
                </c:pt>
                <c:pt idx="27">
                  <c:v>42764</c:v>
                </c:pt>
                <c:pt idx="28">
                  <c:v>42765</c:v>
                </c:pt>
                <c:pt idx="29">
                  <c:v>42766</c:v>
                </c:pt>
              </c:numCache>
            </c:numRef>
          </c:cat>
          <c:val>
            <c:numRef>
              <c:f>List1!$H$14:$AM$14</c:f>
              <c:numCache>
                <c:formatCode>#,##0.00</c:formatCode>
                <c:ptCount val="31"/>
                <c:pt idx="0">
                  <c:v>20.34</c:v>
                </c:pt>
                <c:pt idx="1">
                  <c:v>20.94</c:v>
                </c:pt>
                <c:pt idx="2">
                  <c:v>19.86</c:v>
                </c:pt>
                <c:pt idx="3">
                  <c:v>19.07</c:v>
                </c:pt>
                <c:pt idx="4">
                  <c:v>19.100000000000001</c:v>
                </c:pt>
                <c:pt idx="5">
                  <c:v>19.34</c:v>
                </c:pt>
                <c:pt idx="6">
                  <c:v>19.43</c:v>
                </c:pt>
                <c:pt idx="7">
                  <c:v>19.3</c:v>
                </c:pt>
                <c:pt idx="8">
                  <c:v>19.309999999999999</c:v>
                </c:pt>
                <c:pt idx="9">
                  <c:v>19.52</c:v>
                </c:pt>
                <c:pt idx="10">
                  <c:v>20.170000000000002</c:v>
                </c:pt>
                <c:pt idx="11">
                  <c:v>20.59</c:v>
                </c:pt>
                <c:pt idx="12">
                  <c:v>21.06</c:v>
                </c:pt>
                <c:pt idx="13">
                  <c:v>19.899999999999999</c:v>
                </c:pt>
                <c:pt idx="14">
                  <c:v>20</c:v>
                </c:pt>
                <c:pt idx="15">
                  <c:v>20.37</c:v>
                </c:pt>
                <c:pt idx="16">
                  <c:v>19.87</c:v>
                </c:pt>
                <c:pt idx="17">
                  <c:v>19.79</c:v>
                </c:pt>
                <c:pt idx="18">
                  <c:v>20.57</c:v>
                </c:pt>
                <c:pt idx="19">
                  <c:v>20.75</c:v>
                </c:pt>
                <c:pt idx="20">
                  <c:v>20.82</c:v>
                </c:pt>
                <c:pt idx="21">
                  <c:v>21.01</c:v>
                </c:pt>
                <c:pt idx="22">
                  <c:v>21.36</c:v>
                </c:pt>
                <c:pt idx="23">
                  <c:v>21.57</c:v>
                </c:pt>
                <c:pt idx="24">
                  <c:v>21.59</c:v>
                </c:pt>
                <c:pt idx="25">
                  <c:v>20.93</c:v>
                </c:pt>
                <c:pt idx="26">
                  <c:v>20.34</c:v>
                </c:pt>
                <c:pt idx="27">
                  <c:v>20.13</c:v>
                </c:pt>
                <c:pt idx="28">
                  <c:v>20.76</c:v>
                </c:pt>
                <c:pt idx="29">
                  <c:v>21.15</c:v>
                </c:pt>
                <c:pt idx="30">
                  <c:v>21.58</c:v>
                </c:pt>
              </c:numCache>
            </c:numRef>
          </c:val>
          <c:smooth val="0"/>
        </c:ser>
        <c:dLbls>
          <c:showLegendKey val="0"/>
          <c:showVal val="0"/>
          <c:showCatName val="0"/>
          <c:showSerName val="0"/>
          <c:showPercent val="0"/>
          <c:showBubbleSize val="0"/>
        </c:dLbls>
        <c:marker val="1"/>
        <c:smooth val="0"/>
        <c:axId val="150484480"/>
        <c:axId val="150486016"/>
        <c:extLst>
          <c:ext xmlns:c15="http://schemas.microsoft.com/office/drawing/2012/chart" uri="{02D57815-91ED-43cb-92C2-25804820EDAC}">
            <c15:filteredLineSeries>
              <c15:ser>
                <c:idx val="3"/>
                <c:order val="3"/>
                <c:tx>
                  <c:strRef>
                    <c:extLst>
                      <c:ext uri="{02D57815-91ED-43cb-92C2-25804820EDAC}">
                        <c15:formulaRef>
                          <c15:sqref>List1!$H$15</c15:sqref>
                        </c15:formulaRef>
                      </c:ext>
                    </c:extLst>
                    <c:strCache>
                      <c:ptCount val="1"/>
                    </c:strCache>
                  </c:strRef>
                </c:tx>
                <c:spPr>
                  <a:ln w="28575" cap="rnd">
                    <a:solidFill>
                      <a:schemeClr val="accent4"/>
                    </a:solidFill>
                    <a:round/>
                  </a:ln>
                  <a:effectLst/>
                </c:spPr>
                <c:marker>
                  <c:symbol val="none"/>
                </c:marker>
                <c:cat>
                  <c:numRef>
                    <c:extLst>
                      <c:ext uri="{02D57815-91ED-43cb-92C2-25804820EDAC}">
                        <c15:formulaRef>
                          <c15:sqref>List1!$I$16:$AM$16</c15:sqref>
                        </c15:formulaRef>
                      </c:ext>
                    </c:extLst>
                    <c:numCache>
                      <c:formatCode>m/d/yyyy</c:formatCode>
                      <c:ptCount val="30"/>
                      <c:pt idx="0">
                        <c:v>42737</c:v>
                      </c:pt>
                      <c:pt idx="1">
                        <c:v>42738</c:v>
                      </c:pt>
                      <c:pt idx="2">
                        <c:v>42739</c:v>
                      </c:pt>
                      <c:pt idx="3">
                        <c:v>42740</c:v>
                      </c:pt>
                      <c:pt idx="4">
                        <c:v>42741</c:v>
                      </c:pt>
                      <c:pt idx="5">
                        <c:v>42742</c:v>
                      </c:pt>
                      <c:pt idx="6">
                        <c:v>42743</c:v>
                      </c:pt>
                      <c:pt idx="7">
                        <c:v>42744</c:v>
                      </c:pt>
                      <c:pt idx="8">
                        <c:v>42745</c:v>
                      </c:pt>
                      <c:pt idx="9">
                        <c:v>42746</c:v>
                      </c:pt>
                      <c:pt idx="10">
                        <c:v>42747</c:v>
                      </c:pt>
                      <c:pt idx="11">
                        <c:v>42748</c:v>
                      </c:pt>
                      <c:pt idx="12">
                        <c:v>42749</c:v>
                      </c:pt>
                      <c:pt idx="13">
                        <c:v>42750</c:v>
                      </c:pt>
                      <c:pt idx="14">
                        <c:v>42751</c:v>
                      </c:pt>
                      <c:pt idx="15">
                        <c:v>42752</c:v>
                      </c:pt>
                      <c:pt idx="16">
                        <c:v>42753</c:v>
                      </c:pt>
                      <c:pt idx="17">
                        <c:v>42754</c:v>
                      </c:pt>
                      <c:pt idx="18">
                        <c:v>42755</c:v>
                      </c:pt>
                      <c:pt idx="19">
                        <c:v>42756</c:v>
                      </c:pt>
                      <c:pt idx="20">
                        <c:v>42757</c:v>
                      </c:pt>
                      <c:pt idx="21">
                        <c:v>42758</c:v>
                      </c:pt>
                      <c:pt idx="22">
                        <c:v>42759</c:v>
                      </c:pt>
                      <c:pt idx="23">
                        <c:v>42760</c:v>
                      </c:pt>
                      <c:pt idx="24">
                        <c:v>42761</c:v>
                      </c:pt>
                      <c:pt idx="25">
                        <c:v>42762</c:v>
                      </c:pt>
                      <c:pt idx="26">
                        <c:v>42763</c:v>
                      </c:pt>
                      <c:pt idx="27">
                        <c:v>42764</c:v>
                      </c:pt>
                      <c:pt idx="28">
                        <c:v>42765</c:v>
                      </c:pt>
                      <c:pt idx="29">
                        <c:v>42766</c:v>
                      </c:pt>
                    </c:numCache>
                  </c:numRef>
                </c:cat>
                <c:val>
                  <c:numRef>
                    <c:extLst>
                      <c:ext uri="{02D57815-91ED-43cb-92C2-25804820EDAC}">
                        <c15:formulaRef>
                          <c15:sqref>List1!$I$15:$AM$15</c15:sqref>
                        </c15:formulaRef>
                      </c:ext>
                    </c:extLst>
                    <c:numCache>
                      <c:formatCode>#,##0.00</c:formatCode>
                      <c:ptCount val="30"/>
                      <c:pt idx="0">
                        <c:v>0.53500000000000014</c:v>
                      </c:pt>
                      <c:pt idx="1">
                        <c:v>0.27799999999999869</c:v>
                      </c:pt>
                      <c:pt idx="2">
                        <c:v>0.12800000000000011</c:v>
                      </c:pt>
                      <c:pt idx="3">
                        <c:v>6.5000000000001279E-2</c:v>
                      </c:pt>
                      <c:pt idx="4">
                        <c:v>4.2999999999999261E-2</c:v>
                      </c:pt>
                      <c:pt idx="5">
                        <c:v>0.36899999999999977</c:v>
                      </c:pt>
                      <c:pt idx="6">
                        <c:v>0.25400000000000134</c:v>
                      </c:pt>
                      <c:pt idx="7">
                        <c:v>0.16099999999999781</c:v>
                      </c:pt>
                      <c:pt idx="8">
                        <c:v>9.9999999999997868E-2</c:v>
                      </c:pt>
                      <c:pt idx="9">
                        <c:v>-5.099999999999838E-2</c:v>
                      </c:pt>
                      <c:pt idx="10">
                        <c:v>-7.0000000000014495E-3</c:v>
                      </c:pt>
                      <c:pt idx="11">
                        <c:v>-2.8999999999999915E-2</c:v>
                      </c:pt>
                      <c:pt idx="12">
                        <c:v>2.4390000000000001</c:v>
                      </c:pt>
                      <c:pt idx="13">
                        <c:v>2.6329999999999991</c:v>
                      </c:pt>
                      <c:pt idx="14">
                        <c:v>2.7270000000000003</c:v>
                      </c:pt>
                      <c:pt idx="15">
                        <c:v>2.3210000000000015</c:v>
                      </c:pt>
                      <c:pt idx="16">
                        <c:v>2.25</c:v>
                      </c:pt>
                      <c:pt idx="17">
                        <c:v>2.7590000000000003</c:v>
                      </c:pt>
                      <c:pt idx="18">
                        <c:v>2.8859999999999992</c:v>
                      </c:pt>
                      <c:pt idx="19">
                        <c:v>2.7850000000000001</c:v>
                      </c:pt>
                      <c:pt idx="20">
                        <c:v>3.0140000000000029</c:v>
                      </c:pt>
                      <c:pt idx="21">
                        <c:v>3.1469999999999985</c:v>
                      </c:pt>
                      <c:pt idx="22">
                        <c:v>3.5850000000000009</c:v>
                      </c:pt>
                      <c:pt idx="23">
                        <c:v>3.7369999999999983</c:v>
                      </c:pt>
                      <c:pt idx="24">
                        <c:v>3.1379999999999981</c:v>
                      </c:pt>
                      <c:pt idx="25">
                        <c:v>2.3140000000000001</c:v>
                      </c:pt>
                      <c:pt idx="26">
                        <c:v>1.7620000000000005</c:v>
                      </c:pt>
                      <c:pt idx="27">
                        <c:v>1.9730000000000025</c:v>
                      </c:pt>
                      <c:pt idx="28">
                        <c:v>1.8189999999999991</c:v>
                      </c:pt>
                      <c:pt idx="29">
                        <c:v>2.0179999999999971</c:v>
                      </c:pt>
                    </c:numCache>
                  </c:numRef>
                </c:val>
                <c:smooth val="0"/>
              </c15:ser>
            </c15:filteredLineSeries>
          </c:ext>
        </c:extLst>
      </c:lineChart>
      <c:dateAx>
        <c:axId val="150484480"/>
        <c:scaling>
          <c:orientation val="minMax"/>
        </c:scaling>
        <c:delete val="0"/>
        <c:axPos val="b"/>
        <c:numFmt formatCode="m/d/yyyy"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cs-CZ"/>
          </a:p>
        </c:txPr>
        <c:crossAx val="150486016"/>
        <c:crosses val="autoZero"/>
        <c:auto val="1"/>
        <c:lblOffset val="100"/>
        <c:baseTimeUnit val="days"/>
      </c:dateAx>
      <c:valAx>
        <c:axId val="150486016"/>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t>EUR/MWh</a:t>
                </a:r>
                <a:endParaRPr lang="cs-CZ"/>
              </a:p>
            </c:rich>
          </c:tx>
          <c:layout/>
          <c:overlay val="0"/>
          <c:spPr>
            <a:noFill/>
            <a:ln>
              <a:noFill/>
            </a:ln>
            <a:effectLst/>
          </c:sp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cs-CZ"/>
          </a:p>
        </c:txPr>
        <c:crossAx val="150484480"/>
        <c:crosses val="autoZero"/>
        <c:crossBetween val="between"/>
      </c:valAx>
      <c:spPr>
        <a:noFill/>
        <a:ln>
          <a:noFill/>
        </a:ln>
        <a:effectLst/>
      </c:spPr>
    </c:plotArea>
    <c:legend>
      <c:legendPos val="b"/>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cs-CZ"/>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cs-CZ"/>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cs-CZ"/>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cs-CZ"/>
              <a:t>Dostupná kapacita na</a:t>
            </a:r>
            <a:r>
              <a:rPr lang="cs-CZ" baseline="0"/>
              <a:t> skladovací rok 2016/17</a:t>
            </a:r>
            <a:endParaRPr lang="cs-CZ"/>
          </a:p>
        </c:rich>
      </c:tx>
      <c:layout>
        <c:manualLayout>
          <c:xMode val="edge"/>
          <c:yMode val="edge"/>
          <c:x val="0.19084984665165189"/>
          <c:y val="4.2211286089238846E-2"/>
        </c:manualLayout>
      </c:layout>
      <c:overlay val="0"/>
      <c:spPr>
        <a:noFill/>
        <a:ln>
          <a:noFill/>
        </a:ln>
        <a:effectLst/>
      </c:spPr>
    </c:title>
    <c:autoTitleDeleted val="0"/>
    <c:plotArea>
      <c:layout>
        <c:manualLayout>
          <c:layoutTarget val="inner"/>
          <c:xMode val="edge"/>
          <c:yMode val="edge"/>
          <c:x val="0.2268802773787226"/>
          <c:y val="0.25558052434456929"/>
          <c:w val="0.67766167797154686"/>
          <c:h val="0.40585016760545384"/>
        </c:manualLayout>
      </c:layout>
      <c:lineChart>
        <c:grouping val="standard"/>
        <c:varyColors val="0"/>
        <c:ser>
          <c:idx val="0"/>
          <c:order val="0"/>
          <c:spPr>
            <a:ln w="28575" cap="rnd">
              <a:solidFill>
                <a:schemeClr val="accent1"/>
              </a:solidFill>
              <a:round/>
            </a:ln>
            <a:effectLst/>
          </c:spPr>
          <c:marker>
            <c:symbol val="none"/>
          </c:marker>
          <c:cat>
            <c:strRef>
              <c:f>List1!$B$4:$B$22</c:f>
              <c:strCache>
                <c:ptCount val="18"/>
                <c:pt idx="0">
                  <c:v>volná kapacita</c:v>
                </c:pt>
                <c:pt idx="1">
                  <c:v>14.5.2015</c:v>
                </c:pt>
                <c:pt idx="2">
                  <c:v>14.5.2015</c:v>
                </c:pt>
                <c:pt idx="3">
                  <c:v>2.6.2015</c:v>
                </c:pt>
                <c:pt idx="4">
                  <c:v>22.10.2015</c:v>
                </c:pt>
                <c:pt idx="5">
                  <c:v>22.10.2015</c:v>
                </c:pt>
                <c:pt idx="6">
                  <c:v>23.10.2015</c:v>
                </c:pt>
                <c:pt idx="7">
                  <c:v>23.11.2015</c:v>
                </c:pt>
                <c:pt idx="8">
                  <c:v>18.12.2015</c:v>
                </c:pt>
                <c:pt idx="9">
                  <c:v>28.1.2016</c:v>
                </c:pt>
                <c:pt idx="10">
                  <c:v>1.2.2016</c:v>
                </c:pt>
                <c:pt idx="11">
                  <c:v>19.2.2016</c:v>
                </c:pt>
                <c:pt idx="12">
                  <c:v>22.2.2016</c:v>
                </c:pt>
                <c:pt idx="13">
                  <c:v>7.3.2016</c:v>
                </c:pt>
                <c:pt idx="14">
                  <c:v>21.3.2016</c:v>
                </c:pt>
                <c:pt idx="15">
                  <c:v>23.3.2016</c:v>
                </c:pt>
                <c:pt idx="16">
                  <c:v>18.4.2016</c:v>
                </c:pt>
                <c:pt idx="17">
                  <c:v>23.5.2016</c:v>
                </c:pt>
              </c:strCache>
            </c:strRef>
          </c:cat>
          <c:val>
            <c:numRef>
              <c:f>List1!$D$4:$D$22</c:f>
              <c:numCache>
                <c:formatCode>0.00</c:formatCode>
                <c:ptCount val="18"/>
                <c:pt idx="0" formatCode="_-* #\ ##0\ _K_č_-;\-* #\ ##0\ _K_č_-;_-* &quot;-&quot;??\ _K_č_-;_-@_-">
                  <c:v>1801320.075</c:v>
                </c:pt>
                <c:pt idx="1">
                  <c:v>1567966.075</c:v>
                </c:pt>
                <c:pt idx="2">
                  <c:v>1378365.95</c:v>
                </c:pt>
                <c:pt idx="3">
                  <c:v>1187439.95</c:v>
                </c:pt>
                <c:pt idx="4">
                  <c:v>1157210</c:v>
                </c:pt>
                <c:pt idx="5">
                  <c:v>1157210</c:v>
                </c:pt>
                <c:pt idx="6">
                  <c:v>1157210</c:v>
                </c:pt>
                <c:pt idx="7">
                  <c:v>1157210</c:v>
                </c:pt>
                <c:pt idx="8">
                  <c:v>1157210</c:v>
                </c:pt>
                <c:pt idx="9">
                  <c:v>1114280</c:v>
                </c:pt>
                <c:pt idx="10">
                  <c:v>1094300</c:v>
                </c:pt>
                <c:pt idx="11">
                  <c:v>1091300</c:v>
                </c:pt>
                <c:pt idx="12">
                  <c:v>791300</c:v>
                </c:pt>
                <c:pt idx="13">
                  <c:v>591300</c:v>
                </c:pt>
                <c:pt idx="14">
                  <c:v>535300</c:v>
                </c:pt>
                <c:pt idx="15">
                  <c:v>235000</c:v>
                </c:pt>
                <c:pt idx="16">
                  <c:v>180000</c:v>
                </c:pt>
                <c:pt idx="17">
                  <c:v>0</c:v>
                </c:pt>
              </c:numCache>
            </c:numRef>
          </c:val>
          <c:smooth val="0"/>
        </c:ser>
        <c:dLbls>
          <c:showLegendKey val="0"/>
          <c:showVal val="0"/>
          <c:showCatName val="0"/>
          <c:showSerName val="0"/>
          <c:showPercent val="0"/>
          <c:showBubbleSize val="0"/>
        </c:dLbls>
        <c:marker val="1"/>
        <c:smooth val="0"/>
        <c:axId val="158751360"/>
        <c:axId val="164004224"/>
      </c:lineChart>
      <c:catAx>
        <c:axId val="158751360"/>
        <c:scaling>
          <c:orientation val="minMax"/>
        </c:scaling>
        <c:delete val="0"/>
        <c:axPos val="b"/>
        <c:numFmt formatCode="General" sourceLinked="1"/>
        <c:majorTickMark val="out"/>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cs-CZ"/>
          </a:p>
        </c:txPr>
        <c:crossAx val="164004224"/>
        <c:crosses val="autoZero"/>
        <c:auto val="0"/>
        <c:lblAlgn val="ctr"/>
        <c:lblOffset val="100"/>
        <c:noMultiLvlLbl val="0"/>
      </c:catAx>
      <c:valAx>
        <c:axId val="164004224"/>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0" spcFirstLastPara="1" vertOverflow="ellipsis" wrap="square" anchor="ctr" anchorCtr="1"/>
              <a:lstStyle/>
              <a:p>
                <a:pPr>
                  <a:defRPr sz="1000" b="0" i="0" u="none" strike="noStrike" kern="1200" baseline="0">
                    <a:solidFill>
                      <a:schemeClr val="tx1">
                        <a:lumMod val="65000"/>
                        <a:lumOff val="35000"/>
                      </a:schemeClr>
                    </a:solidFill>
                    <a:latin typeface="+mn-lt"/>
                    <a:ea typeface="+mn-ea"/>
                    <a:cs typeface="+mn-cs"/>
                  </a:defRPr>
                </a:pPr>
                <a:r>
                  <a:rPr lang="cs-CZ"/>
                  <a:t>MWh</a:t>
                </a:r>
              </a:p>
            </c:rich>
          </c:tx>
          <c:layout>
            <c:manualLayout>
              <c:xMode val="edge"/>
              <c:yMode val="edge"/>
              <c:x val="8.7817215752687236E-2"/>
              <c:y val="0.14296703720858422"/>
            </c:manualLayout>
          </c:layout>
          <c:overlay val="0"/>
          <c:spPr>
            <a:noFill/>
            <a:ln>
              <a:noFill/>
            </a:ln>
            <a:effectLst/>
          </c:spPr>
        </c:title>
        <c:numFmt formatCode="_-* #\ ##0\ _K_č_-;\-* #\ ##0\ _K_č_-;_-* &quot;-&quot;??\ _K_č_-;_-@_-"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cs-CZ"/>
          </a:p>
        </c:txPr>
        <c:crossAx val="158751360"/>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cs-CZ"/>
    </a:p>
  </c:txPr>
  <c:externalData r:id="rId1">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32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E62AE6B-9FBF-41BC-B514-B2DAB10509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21</Pages>
  <Words>8731</Words>
  <Characters>51517</Characters>
  <Application>Microsoft Office Word</Application>
  <DocSecurity>0</DocSecurity>
  <Lines>429</Lines>
  <Paragraphs>120</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
      <vt:lpstr/>
    </vt:vector>
  </TitlesOfParts>
  <LinksUpToDate>false</LinksUpToDate>
  <CharactersWithSpaces>60128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2017-04-12T07:56:00Z</dcterms:created>
  <dcterms:modified xsi:type="dcterms:W3CDTF">2017-04-12T08:13:00Z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-237817842</vt:i4>
  </property>
</Properties>
</file>