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B0" w:rsidRDefault="007E62B0" w:rsidP="007E62B0">
      <w:pPr>
        <w:pStyle w:val="Nadpis1"/>
        <w:spacing w:before="0"/>
      </w:pPr>
      <w:r>
        <w:t>Odůvodnění k návrhu vyhlášky, kterou se mění vyhláška č. 349/2015 Sb., o Pravidlech trhu s plynem</w:t>
      </w:r>
      <w:r w:rsidRPr="00D76DF5">
        <w:t xml:space="preserve"> </w:t>
      </w:r>
    </w:p>
    <w:p w:rsidR="0044259B" w:rsidRDefault="0044259B" w:rsidP="00502F05">
      <w:pPr>
        <w:pStyle w:val="Nadpis1"/>
        <w:spacing w:before="360"/>
      </w:pPr>
      <w:r w:rsidRPr="00D76DF5">
        <w:t>Obecná část</w:t>
      </w:r>
    </w:p>
    <w:p w:rsidR="0044259B" w:rsidRDefault="0044259B" w:rsidP="001A680E">
      <w:pPr>
        <w:pStyle w:val="Nadpis2"/>
      </w:pPr>
      <w:r w:rsidRPr="00D76DF5">
        <w:t>Zhodnocení platného právního stavu</w:t>
      </w:r>
    </w:p>
    <w:p w:rsidR="0019440F" w:rsidRPr="007E62B0" w:rsidRDefault="0019440F" w:rsidP="007E62B0">
      <w:pPr>
        <w:pStyle w:val="Nadpis1"/>
        <w:spacing w:before="240" w:after="240"/>
        <w:rPr>
          <w:rFonts w:ascii="Cambria" w:eastAsiaTheme="minorHAnsi" w:hAnsi="Cambria" w:cstheme="minorBidi"/>
          <w:b w:val="0"/>
          <w:bCs w:val="0"/>
          <w:color w:val="auto"/>
          <w:sz w:val="22"/>
          <w:szCs w:val="22"/>
          <w:u w:val="none"/>
        </w:rPr>
      </w:pPr>
      <w:r w:rsidRPr="007E62B0">
        <w:rPr>
          <w:rFonts w:ascii="Cambria" w:eastAsiaTheme="minorHAnsi" w:hAnsi="Cambria" w:cstheme="minorBidi"/>
          <w:b w:val="0"/>
          <w:bCs w:val="0"/>
          <w:color w:val="auto"/>
          <w:sz w:val="22"/>
          <w:szCs w:val="22"/>
          <w:u w:val="none"/>
        </w:rPr>
        <w:t>Předk</w:t>
      </w:r>
      <w:bookmarkStart w:id="0" w:name="_GoBack"/>
      <w:bookmarkEnd w:id="0"/>
      <w:r w:rsidRPr="007E62B0">
        <w:rPr>
          <w:rFonts w:ascii="Cambria" w:eastAsiaTheme="minorHAnsi" w:hAnsi="Cambria" w:cstheme="minorBidi"/>
          <w:b w:val="0"/>
          <w:bCs w:val="0"/>
          <w:color w:val="auto"/>
          <w:sz w:val="22"/>
          <w:szCs w:val="22"/>
          <w:u w:val="none"/>
        </w:rPr>
        <w:t xml:space="preserve">ládaný návrh </w:t>
      </w:r>
      <w:r w:rsidR="00E67C44">
        <w:rPr>
          <w:rFonts w:ascii="Cambria" w:eastAsiaTheme="minorHAnsi" w:hAnsi="Cambria" w:cstheme="minorBidi"/>
          <w:b w:val="0"/>
          <w:bCs w:val="0"/>
          <w:color w:val="auto"/>
          <w:sz w:val="22"/>
          <w:szCs w:val="22"/>
          <w:u w:val="none"/>
        </w:rPr>
        <w:t xml:space="preserve">novely </w:t>
      </w:r>
      <w:r w:rsidRPr="007E62B0">
        <w:rPr>
          <w:rFonts w:ascii="Cambria" w:eastAsiaTheme="minorHAnsi" w:hAnsi="Cambria" w:cstheme="minorBidi"/>
          <w:b w:val="0"/>
          <w:bCs w:val="0"/>
          <w:color w:val="auto"/>
          <w:sz w:val="22"/>
          <w:szCs w:val="22"/>
          <w:u w:val="none"/>
        </w:rPr>
        <w:t xml:space="preserve">vyhlášky se vydává na základě zmocnění podle § 98a odst. </w:t>
      </w:r>
      <w:r w:rsidR="007E62B0" w:rsidRPr="007E62B0">
        <w:rPr>
          <w:rFonts w:ascii="Cambria" w:eastAsiaTheme="minorHAnsi" w:hAnsi="Cambria" w:cstheme="minorBidi"/>
          <w:b w:val="0"/>
          <w:bCs w:val="0"/>
          <w:color w:val="auto"/>
          <w:sz w:val="22"/>
          <w:szCs w:val="22"/>
          <w:u w:val="none"/>
        </w:rPr>
        <w:t>2 </w:t>
      </w:r>
      <w:r w:rsidRPr="007E62B0">
        <w:rPr>
          <w:rFonts w:ascii="Cambria" w:eastAsiaTheme="minorHAnsi" w:hAnsi="Cambria" w:cstheme="minorBidi"/>
          <w:b w:val="0"/>
          <w:bCs w:val="0"/>
          <w:color w:val="auto"/>
          <w:sz w:val="22"/>
          <w:szCs w:val="22"/>
          <w:u w:val="none"/>
        </w:rPr>
        <w:t xml:space="preserve">písm. i) zákona č. 458/2000 Sb., </w:t>
      </w:r>
      <w:r w:rsidR="007E62B0" w:rsidRPr="007E62B0">
        <w:rPr>
          <w:rFonts w:ascii="Cambria" w:eastAsiaTheme="minorHAnsi" w:hAnsi="Cambria" w:cstheme="minorBidi"/>
          <w:b w:val="0"/>
          <w:bCs w:val="0"/>
          <w:color w:val="auto"/>
          <w:sz w:val="22"/>
          <w:szCs w:val="22"/>
          <w:u w:val="none"/>
        </w:rPr>
        <w:t>o </w:t>
      </w:r>
      <w:r w:rsidRPr="007E62B0">
        <w:rPr>
          <w:rFonts w:ascii="Cambria" w:eastAsiaTheme="minorHAnsi" w:hAnsi="Cambria" w:cstheme="minorBidi"/>
          <w:b w:val="0"/>
          <w:bCs w:val="0"/>
          <w:color w:val="auto"/>
          <w:sz w:val="22"/>
          <w:szCs w:val="22"/>
          <w:u w:val="none"/>
        </w:rPr>
        <w:t xml:space="preserve">podmínkách podnikání </w:t>
      </w:r>
      <w:r w:rsidR="007E62B0" w:rsidRPr="007E62B0">
        <w:rPr>
          <w:rFonts w:ascii="Cambria" w:eastAsiaTheme="minorHAnsi" w:hAnsi="Cambria" w:cstheme="minorBidi"/>
          <w:b w:val="0"/>
          <w:bCs w:val="0"/>
          <w:color w:val="auto"/>
          <w:sz w:val="22"/>
          <w:szCs w:val="22"/>
          <w:u w:val="none"/>
        </w:rPr>
        <w:t>a o </w:t>
      </w:r>
      <w:r w:rsidRPr="007E62B0">
        <w:rPr>
          <w:rFonts w:ascii="Cambria" w:eastAsiaTheme="minorHAnsi" w:hAnsi="Cambria" w:cstheme="minorBidi"/>
          <w:b w:val="0"/>
          <w:bCs w:val="0"/>
          <w:color w:val="auto"/>
          <w:sz w:val="22"/>
          <w:szCs w:val="22"/>
          <w:u w:val="none"/>
        </w:rPr>
        <w:t xml:space="preserve">výkonu státní správy </w:t>
      </w:r>
      <w:r w:rsidR="007E62B0" w:rsidRPr="007E62B0">
        <w:rPr>
          <w:rFonts w:ascii="Cambria" w:eastAsiaTheme="minorHAnsi" w:hAnsi="Cambria" w:cstheme="minorBidi"/>
          <w:b w:val="0"/>
          <w:bCs w:val="0"/>
          <w:color w:val="auto"/>
          <w:sz w:val="22"/>
          <w:szCs w:val="22"/>
          <w:u w:val="none"/>
        </w:rPr>
        <w:t>v </w:t>
      </w:r>
      <w:r w:rsidRPr="007E62B0">
        <w:rPr>
          <w:rFonts w:ascii="Cambria" w:eastAsiaTheme="minorHAnsi" w:hAnsi="Cambria" w:cstheme="minorBidi"/>
          <w:b w:val="0"/>
          <w:bCs w:val="0"/>
          <w:color w:val="auto"/>
          <w:sz w:val="22"/>
          <w:szCs w:val="22"/>
          <w:u w:val="none"/>
        </w:rPr>
        <w:t xml:space="preserve">energetických odvětvích </w:t>
      </w:r>
      <w:r w:rsidR="007E62B0" w:rsidRPr="007E62B0">
        <w:rPr>
          <w:rFonts w:ascii="Cambria" w:eastAsiaTheme="minorHAnsi" w:hAnsi="Cambria" w:cstheme="minorBidi"/>
          <w:b w:val="0"/>
          <w:bCs w:val="0"/>
          <w:color w:val="auto"/>
          <w:sz w:val="22"/>
          <w:szCs w:val="22"/>
          <w:u w:val="none"/>
        </w:rPr>
        <w:t>a o </w:t>
      </w:r>
      <w:r w:rsidRPr="007E62B0">
        <w:rPr>
          <w:rFonts w:ascii="Cambria" w:eastAsiaTheme="minorHAnsi" w:hAnsi="Cambria" w:cstheme="minorBidi"/>
          <w:b w:val="0"/>
          <w:bCs w:val="0"/>
          <w:color w:val="auto"/>
          <w:sz w:val="22"/>
          <w:szCs w:val="22"/>
          <w:u w:val="none"/>
        </w:rPr>
        <w:t xml:space="preserve">změně některých zákonů (energetický zákon), ve znění pozdějších předpisů, </w:t>
      </w:r>
      <w:r w:rsidR="00BE2566">
        <w:rPr>
          <w:rFonts w:ascii="Cambria" w:eastAsiaTheme="minorHAnsi" w:hAnsi="Cambria" w:cstheme="minorBidi"/>
          <w:b w:val="0"/>
          <w:bCs w:val="0"/>
          <w:color w:val="auto"/>
          <w:sz w:val="22"/>
          <w:szCs w:val="22"/>
          <w:u w:val="none"/>
        </w:rPr>
        <w:t xml:space="preserve">kdy </w:t>
      </w:r>
      <w:r w:rsidRPr="007E62B0">
        <w:rPr>
          <w:rFonts w:ascii="Cambria" w:eastAsiaTheme="minorHAnsi" w:hAnsi="Cambria" w:cstheme="minorBidi"/>
          <w:b w:val="0"/>
          <w:bCs w:val="0"/>
          <w:color w:val="auto"/>
          <w:sz w:val="22"/>
          <w:szCs w:val="22"/>
          <w:u w:val="none"/>
        </w:rPr>
        <w:t xml:space="preserve">je Energetický regulační úřad (dále také „Úřad“) povinen stanovit prováděcím právním předpisem Pravidla trhu </w:t>
      </w:r>
      <w:r w:rsidR="007E62B0" w:rsidRPr="007E62B0">
        <w:rPr>
          <w:rFonts w:ascii="Cambria" w:eastAsiaTheme="minorHAnsi" w:hAnsi="Cambria" w:cstheme="minorBidi"/>
          <w:b w:val="0"/>
          <w:bCs w:val="0"/>
          <w:color w:val="auto"/>
          <w:sz w:val="22"/>
          <w:szCs w:val="22"/>
          <w:u w:val="none"/>
        </w:rPr>
        <w:t>s </w:t>
      </w:r>
      <w:r w:rsidRPr="007E62B0">
        <w:rPr>
          <w:rFonts w:ascii="Cambria" w:eastAsiaTheme="minorHAnsi" w:hAnsi="Cambria" w:cstheme="minorBidi"/>
          <w:b w:val="0"/>
          <w:bCs w:val="0"/>
          <w:color w:val="auto"/>
          <w:sz w:val="22"/>
          <w:szCs w:val="22"/>
          <w:u w:val="none"/>
        </w:rPr>
        <w:t>plynem.</w:t>
      </w:r>
    </w:p>
    <w:p w:rsidR="003122BA" w:rsidRDefault="003122BA" w:rsidP="003122BA">
      <w:r w:rsidRPr="007E62B0">
        <w:t>V</w:t>
      </w:r>
      <w:r>
        <w:t> </w:t>
      </w:r>
      <w:r w:rsidRPr="007E62B0">
        <w:t>roce 20</w:t>
      </w:r>
      <w:r>
        <w:t>15</w:t>
      </w:r>
      <w:r w:rsidRPr="007E62B0">
        <w:t xml:space="preserve"> byla v</w:t>
      </w:r>
      <w:r>
        <w:t> </w:t>
      </w:r>
      <w:r w:rsidRPr="007E62B0">
        <w:t>souladu s</w:t>
      </w:r>
      <w:r>
        <w:t> </w:t>
      </w:r>
      <w:r w:rsidR="00BE2566">
        <w:t>výše uvedeným ustanovením</w:t>
      </w:r>
      <w:r w:rsidRPr="007E62B0">
        <w:t xml:space="preserve"> vydána vyhláška č. 3</w:t>
      </w:r>
      <w:r>
        <w:t>49</w:t>
      </w:r>
      <w:r w:rsidRPr="007E62B0">
        <w:t>/20</w:t>
      </w:r>
      <w:r>
        <w:t>15</w:t>
      </w:r>
      <w:r w:rsidRPr="007E62B0">
        <w:t xml:space="preserve"> Sb., o</w:t>
      </w:r>
      <w:r>
        <w:t> </w:t>
      </w:r>
      <w:r w:rsidRPr="007E62B0">
        <w:t>Pravidlech trhu s</w:t>
      </w:r>
      <w:r w:rsidR="00DD03DC">
        <w:t> </w:t>
      </w:r>
      <w:r w:rsidRPr="007E62B0">
        <w:t>plynem</w:t>
      </w:r>
      <w:r w:rsidR="00DD03DC">
        <w:t xml:space="preserve"> (dále také „pravidla trhu s plynem“)</w:t>
      </w:r>
      <w:r w:rsidRPr="007E62B0">
        <w:t xml:space="preserve">. </w:t>
      </w:r>
      <w:r w:rsidR="00BB1DE9">
        <w:t>Vyhláška stano</w:t>
      </w:r>
      <w:r w:rsidRPr="00D76DF5">
        <w:t>v</w:t>
      </w:r>
      <w:r w:rsidR="00BB1DE9">
        <w:t>uje</w:t>
      </w:r>
      <w:r w:rsidRPr="00D76DF5">
        <w:t xml:space="preserve"> zejména pravidla přístupu k přepravní soustavě, k distribuční soustavě a k zásobníku plynu, aby tím zajistila, že subjekty, kterým energetický zákon přiznává právo přístupu k jednotlivým zařízením plynárenské soustavy České republiky, mohou toto právo realizovat za předem známých podmínek. Vyhláška dále stanov</w:t>
      </w:r>
      <w:r w:rsidR="00BB1DE9">
        <w:t>uje</w:t>
      </w:r>
      <w:r w:rsidRPr="00D76DF5">
        <w:t xml:space="preserve"> mimo jiné způsoby řešení nedostatku kapacit v plynárenské soustavě, postupy a termíny pro předkládání nominací a renominací, termíny pro předkládání žádostí o uzavření smluv na trhu s plynem a termíny uzavírání smluv, postupy a podmínky pro přenesení a převzetí odpovědnosti za odchylku, rozsah a termíny předávání údajů pro vyhodnocování odchylek a vyúčtování dodávek plynu a ostatních služeb, postupy pro vyhodnocování, zúčtování a vyrovnávání odchylek a zúčtování a vypořádání vyrovnávacího plynu ve stavu nouze a při předcházení stavu nouze, postup provozovatele zásobníku plynu při prodeji nevytěženého plynu z</w:t>
      </w:r>
      <w:r w:rsidR="008C353C">
        <w:t>e</w:t>
      </w:r>
      <w:r w:rsidRPr="00D76DF5">
        <w:t> zásobníku plynu po zániku smlouvy o uskladňování plynu, druhy krátkodobých trhů, jejich organizaci a způsoby jejich vypořádání, pravidla tvorby, přiřazení a užití typových diagramů dodávek plynu, termíny a postup při změně dodavatele plynu, postup při přerušení, omezení a obnovení dodávky plynu při neoprávněném odběru plynu, neoprávněné distribuci a neoprávněné přepravě a postup při zajištění dodávky plynu dodavatelem poslední instance.</w:t>
      </w:r>
    </w:p>
    <w:p w:rsidR="003122BA" w:rsidRPr="003C4FF2" w:rsidRDefault="003122BA" w:rsidP="003122BA">
      <w:r w:rsidRPr="003C4FF2">
        <w:t>Vyhláška č. 349/2015 Sb., o</w:t>
      </w:r>
      <w:r>
        <w:t> </w:t>
      </w:r>
      <w:r w:rsidRPr="003C4FF2">
        <w:t>Pravidlech trhu s plynem, nebyla doposud novelizována.</w:t>
      </w:r>
    </w:p>
    <w:p w:rsidR="003122BA" w:rsidRPr="0019440F" w:rsidRDefault="003122BA" w:rsidP="003122BA">
      <w:r w:rsidRPr="003C4FF2">
        <w:t xml:space="preserve">Energetický regulační úřad při přípravě předkládaného návrhu vyhlášky zvažoval, zda provedené úpravy předložit jako návrh nového znění </w:t>
      </w:r>
      <w:r w:rsidR="00BE2566">
        <w:t xml:space="preserve">předmětné </w:t>
      </w:r>
      <w:r w:rsidRPr="003C4FF2">
        <w:t>vyhlášky, nebo jako novelu vyhlášky č.</w:t>
      </w:r>
      <w:r w:rsidR="00BE2566">
        <w:t> </w:t>
      </w:r>
      <w:r w:rsidRPr="003C4FF2">
        <w:t>349/2015 Sb. Rozhodnutí předložit návrh</w:t>
      </w:r>
      <w:r>
        <w:t xml:space="preserve"> novely vyhlášky č. 349/2015 Sb. vychází z charakteru úprav nikoli z množství novelizačních bodů. Navzdory relativně vysokému počtu novelizačních bodů se ve většině případů jedná o úpravy, které upřesňují text ustanovení vyhlášky tak, aby bylo v maximální míře možné zamezit nejednoznačnému výkladu nastavených procesů</w:t>
      </w:r>
      <w:r w:rsidR="00BE2566">
        <w:t xml:space="preserve">, které byly identifikovány po vstupu předmětné vyhlášky </w:t>
      </w:r>
      <w:r w:rsidR="0087640A">
        <w:t>v </w:t>
      </w:r>
      <w:r w:rsidR="00BE2566">
        <w:t>platnost</w:t>
      </w:r>
      <w:r>
        <w:t xml:space="preserve">. Nedochází tak </w:t>
      </w:r>
      <w:r w:rsidR="008C353C">
        <w:t xml:space="preserve">ke </w:t>
      </w:r>
      <w:r>
        <w:t xml:space="preserve">změně principů postupů a nastavení termínů, na nichž je fungování trhu s plynem v České republice založeno. Výrazné změny </w:t>
      </w:r>
      <w:r w:rsidR="0087640A">
        <w:t>a </w:t>
      </w:r>
      <w:r w:rsidR="00BE2566">
        <w:t xml:space="preserve">zvažované varianty </w:t>
      </w:r>
      <w:r>
        <w:t>jsou odůvodněny v Závěrečné zprávě o hodnocení dopadů regulace. Upřesňující novelizační body jsou odůvodněny ve zvláštní části.</w:t>
      </w:r>
    </w:p>
    <w:p w:rsidR="0044259B" w:rsidRDefault="0044259B" w:rsidP="001A680E">
      <w:pPr>
        <w:pStyle w:val="Nadpis2"/>
      </w:pPr>
      <w:r w:rsidRPr="00D76DF5">
        <w:t>Vysvětlení nezbytnosti navrhované právní úpravy v jejím celku</w:t>
      </w:r>
    </w:p>
    <w:p w:rsidR="006822AF" w:rsidRPr="004B151D" w:rsidRDefault="006822AF" w:rsidP="00D57ADA">
      <w:pPr>
        <w:spacing w:after="120"/>
      </w:pPr>
      <w:r w:rsidRPr="004B151D">
        <w:t xml:space="preserve">Hlavní důvody návrhu vyhlášky </w:t>
      </w:r>
      <w:r w:rsidR="00DC5A28" w:rsidRPr="004B151D">
        <w:t>o </w:t>
      </w:r>
      <w:r w:rsidRPr="004B151D">
        <w:t xml:space="preserve">Pravidlech trhu </w:t>
      </w:r>
      <w:r w:rsidR="00DC5A28" w:rsidRPr="004B151D">
        <w:t>s </w:t>
      </w:r>
      <w:r w:rsidRPr="004B151D">
        <w:t>plynem jsou:</w:t>
      </w:r>
    </w:p>
    <w:p w:rsidR="009A3C60" w:rsidRPr="004B151D" w:rsidRDefault="009A3C60" w:rsidP="00D57ADA">
      <w:pPr>
        <w:pStyle w:val="Odstavecseseznamem"/>
        <w:numPr>
          <w:ilvl w:val="0"/>
          <w:numId w:val="5"/>
        </w:numPr>
        <w:spacing w:before="120"/>
        <w:ind w:left="714" w:hanging="357"/>
      </w:pPr>
      <w:r w:rsidRPr="004B151D">
        <w:t>požadavk</w:t>
      </w:r>
      <w:r w:rsidR="00B2536F" w:rsidRPr="004B151D">
        <w:t>y</w:t>
      </w:r>
      <w:r w:rsidRPr="004B151D">
        <w:t xml:space="preserve"> účastníků trhu s plynem na úpravu podmínek pro přístup k zásobníkům plynu</w:t>
      </w:r>
      <w:r w:rsidR="004B151D" w:rsidRPr="004B151D">
        <w:t>,</w:t>
      </w:r>
    </w:p>
    <w:p w:rsidR="009A3C60" w:rsidRPr="004B151D" w:rsidRDefault="00B2536F" w:rsidP="004B151D">
      <w:pPr>
        <w:pStyle w:val="Odstavecseseznamem"/>
        <w:numPr>
          <w:ilvl w:val="0"/>
          <w:numId w:val="5"/>
        </w:numPr>
      </w:pPr>
      <w:r w:rsidRPr="004B151D">
        <w:t>potřebě aktualizovat nastavení</w:t>
      </w:r>
      <w:r w:rsidR="009A3C60" w:rsidRPr="004B151D">
        <w:t xml:space="preserve"> mechanismů pro řízení nedostatku přepravních kapacit s postupy pro řízení překročení kapacity v případě smluvního překročení kapacity </w:t>
      </w:r>
      <w:r w:rsidR="009A3C60" w:rsidRPr="004B151D">
        <w:lastRenderedPageBreak/>
        <w:t xml:space="preserve">definovanými v Příloze </w:t>
      </w:r>
      <w:r w:rsidR="005A4867" w:rsidRPr="004B151D">
        <w:t>I</w:t>
      </w:r>
      <w:r w:rsidR="005A4867">
        <w:t> </w:t>
      </w:r>
      <w:r w:rsidR="009A3C60" w:rsidRPr="004B151D">
        <w:t xml:space="preserve">Nařízení Evropského parlamentu </w:t>
      </w:r>
      <w:r w:rsidR="005A4867" w:rsidRPr="004B151D">
        <w:t>a</w:t>
      </w:r>
      <w:r w:rsidR="005A4867">
        <w:t> </w:t>
      </w:r>
      <w:r w:rsidR="009A3C60" w:rsidRPr="004B151D">
        <w:t xml:space="preserve">Rady (ES) č. 715/2009 ze dne 13. července 2009 </w:t>
      </w:r>
      <w:r w:rsidR="005A4867" w:rsidRPr="004B151D">
        <w:t>o</w:t>
      </w:r>
      <w:r w:rsidR="005A4867">
        <w:t> </w:t>
      </w:r>
      <w:r w:rsidR="009A3C60" w:rsidRPr="004B151D">
        <w:t xml:space="preserve">podmínkách přístupu k plynárenským přepravním soustavám </w:t>
      </w:r>
      <w:r w:rsidR="005A4867" w:rsidRPr="004B151D">
        <w:t>a</w:t>
      </w:r>
      <w:r w:rsidR="005A4867">
        <w:t> </w:t>
      </w:r>
      <w:r w:rsidR="005A4867" w:rsidRPr="004B151D">
        <w:t>o</w:t>
      </w:r>
      <w:r w:rsidR="005A4867">
        <w:t> </w:t>
      </w:r>
      <w:r w:rsidR="009A3C60" w:rsidRPr="004B151D">
        <w:t xml:space="preserve">zrušení nařízení (ES) č. 1775/2005, ve znění Rozhodnutí komise ze dne 24. srpna 2012 </w:t>
      </w:r>
      <w:r w:rsidR="005A4867" w:rsidRPr="004B151D">
        <w:t>o</w:t>
      </w:r>
      <w:r w:rsidR="005A4867">
        <w:t> </w:t>
      </w:r>
      <w:r w:rsidR="009A3C60" w:rsidRPr="004B151D">
        <w:t xml:space="preserve">změně přílohy </w:t>
      </w:r>
      <w:r w:rsidR="005A4867" w:rsidRPr="004B151D">
        <w:t>I</w:t>
      </w:r>
      <w:r w:rsidR="005A4867">
        <w:t> </w:t>
      </w:r>
      <w:r w:rsidR="009A3C60" w:rsidRPr="004B151D">
        <w:t xml:space="preserve">nařízení Evropského parlamentu </w:t>
      </w:r>
      <w:r w:rsidR="005A4867" w:rsidRPr="004B151D">
        <w:t>a</w:t>
      </w:r>
      <w:r w:rsidR="005A4867">
        <w:t> </w:t>
      </w:r>
      <w:r w:rsidR="009A3C60" w:rsidRPr="004B151D">
        <w:t xml:space="preserve">Rady (ES) č. 715/2009 </w:t>
      </w:r>
      <w:r w:rsidR="005A4867" w:rsidRPr="004B151D">
        <w:t>o</w:t>
      </w:r>
      <w:r w:rsidR="005A4867">
        <w:t> </w:t>
      </w:r>
      <w:r w:rsidR="009A3C60" w:rsidRPr="004B151D">
        <w:t>podmínkách přístupu k plynárenským přepravním soustavám</w:t>
      </w:r>
      <w:r w:rsidR="004B151D" w:rsidRPr="004B151D">
        <w:t>,</w:t>
      </w:r>
    </w:p>
    <w:p w:rsidR="004B151D" w:rsidRPr="004B151D" w:rsidRDefault="004B151D" w:rsidP="004B151D">
      <w:pPr>
        <w:pStyle w:val="Odstavecseseznamem"/>
        <w:numPr>
          <w:ilvl w:val="0"/>
          <w:numId w:val="5"/>
        </w:numPr>
      </w:pPr>
      <w:r w:rsidRPr="004B151D">
        <w:t>úprava ustanovení, kde byla identifikována možnost nejednoznačného výkladu nastavených procesů</w:t>
      </w:r>
      <w:r w:rsidR="00BE2566">
        <w:t>, nebo kde byla identifikována písařská nebo stylistická chyba</w:t>
      </w:r>
      <w:r w:rsidRPr="004B151D">
        <w:t>.</w:t>
      </w:r>
    </w:p>
    <w:p w:rsidR="006822AF" w:rsidRPr="006822AF" w:rsidRDefault="007B738E" w:rsidP="006822AF">
      <w:r w:rsidRPr="004B151D">
        <w:t>Základní cíl</w:t>
      </w:r>
      <w:r w:rsidR="006822AF" w:rsidRPr="004B151D">
        <w:t xml:space="preserve"> návrhu vyhlášky </w:t>
      </w:r>
      <w:r w:rsidR="00DC5A28" w:rsidRPr="004B151D">
        <w:t>o </w:t>
      </w:r>
      <w:r w:rsidR="006822AF" w:rsidRPr="004B151D">
        <w:t xml:space="preserve">Pravidlech trhu s plynem </w:t>
      </w:r>
      <w:r w:rsidRPr="004B151D">
        <w:t xml:space="preserve">vychází z výše identifikovaných důvodů, kdy je záměrem Energetického regulačního úřadu nastavit postupy </w:t>
      </w:r>
      <w:r w:rsidR="005A4867" w:rsidRPr="004B151D">
        <w:t>a</w:t>
      </w:r>
      <w:r w:rsidR="005A4867">
        <w:t> </w:t>
      </w:r>
      <w:r w:rsidRPr="004B151D">
        <w:t xml:space="preserve">termíny tak, aby byl </w:t>
      </w:r>
      <w:r w:rsidR="00084C14">
        <w:t xml:space="preserve">jednak </w:t>
      </w:r>
      <w:r w:rsidRPr="004B151D">
        <w:t xml:space="preserve">umožněn výkon licencované činnosti na transparentním </w:t>
      </w:r>
      <w:r w:rsidR="005A4867" w:rsidRPr="004B151D">
        <w:t>a</w:t>
      </w:r>
      <w:r w:rsidR="005A4867">
        <w:t> </w:t>
      </w:r>
      <w:r w:rsidRPr="004B151D">
        <w:t xml:space="preserve">předvídatelném základě, </w:t>
      </w:r>
      <w:r w:rsidR="00BE2566">
        <w:t>a </w:t>
      </w:r>
      <w:r w:rsidR="00084C14">
        <w:t xml:space="preserve">dále </w:t>
      </w:r>
      <w:r w:rsidR="00114609">
        <w:t xml:space="preserve">aby </w:t>
      </w:r>
      <w:r w:rsidRPr="004B151D">
        <w:t>nedošlo k založení nerovnováhy mezi jednotlivými účastníky trhu s</w:t>
      </w:r>
      <w:r w:rsidR="00114609">
        <w:t> </w:t>
      </w:r>
      <w:r w:rsidRPr="004B151D">
        <w:t>plynem</w:t>
      </w:r>
      <w:r w:rsidR="00114609">
        <w:t xml:space="preserve">, nebo ohrožení </w:t>
      </w:r>
      <w:r w:rsidR="00180AC8">
        <w:t xml:space="preserve">zajištění bezpečnosti dodávek plynu pro zákazníky </w:t>
      </w:r>
      <w:r w:rsidR="00BE2566">
        <w:t>a </w:t>
      </w:r>
      <w:r w:rsidR="00180AC8">
        <w:t>zároveň aby nedošlo k nárůstu cen pro zákazníky v důsledku přijetí řešení vyvolávajícího neopodstatněné náklady</w:t>
      </w:r>
      <w:r w:rsidRPr="004B151D">
        <w:t>.</w:t>
      </w:r>
    </w:p>
    <w:p w:rsidR="0044259B" w:rsidRDefault="0044259B" w:rsidP="001A680E">
      <w:pPr>
        <w:pStyle w:val="Nadpis2"/>
      </w:pPr>
      <w:r w:rsidRPr="00D76DF5">
        <w:t>Zhodnocení souladu navrhované právní úpravy se zákonem, k jehož provedení je vyhláška navržena, a předpisy Evropské unie</w:t>
      </w:r>
    </w:p>
    <w:p w:rsidR="001B11DC" w:rsidRPr="00D76DF5" w:rsidRDefault="001B11DC" w:rsidP="001B11DC">
      <w:r w:rsidRPr="00D76DF5">
        <w:t>Předkládaný návrh vyhlášky o Pravidlech trhu s plynem je zcela v souladu se zákonem</w:t>
      </w:r>
      <w:r>
        <w:t xml:space="preserve"> č. </w:t>
      </w:r>
      <w:r w:rsidRPr="00D76DF5">
        <w:t>458/2000 Sb., o podmínkách podnikání a o výkonu státní správy v energetických odvětvích a o změně některých zákonů (energetický zákon), ve znění zákona č. 131/2015 Sb.</w:t>
      </w:r>
    </w:p>
    <w:p w:rsidR="001B11DC" w:rsidRDefault="001B11DC" w:rsidP="001B11DC">
      <w:r w:rsidRPr="00D76DF5">
        <w:t>Navrhovaná vyhláška se vydává na základě ustanovení § 98a odst. 2 písm. i) bodu 1 až 14 energetického zákona, ve znění zákona č. 131/2015 Sb.</w:t>
      </w:r>
    </w:p>
    <w:p w:rsidR="003122BA" w:rsidRDefault="003122BA" w:rsidP="003122BA">
      <w:r w:rsidRPr="00D76DF5">
        <w:t>Předkládaný návrh vyhlášky se vydává na základě ustanovení § 98a odst. 2 písm. i) energetického zákona, podle kterého je Úřad oprávněn stanovit vyhláškou pravidla přístupu k přepravní soustavě, k distribučním soustavám a k zásobníku plynu, rozsah zveřejňovaných informací pro umožnění přístupu k přepravní soustavě, distribuční soustavě a zásobníku plynu a způsoby řešení nedostatku kapacit v plynárenské soustavě, termíny pro předkládání žádostí o uzavření smluv na trhu s plynem a termíny uzavírání smluv, postupy a podmínky pro přenesení a převzetí odpovědnosti za odchylku, rozsah a termíny předávání údajů pro vyhodnocování odchylek a vyúčtování dodávek plynu a ostatních služeb, postupy pro vyhodnocování, zúčtování a vyrovnávání odchylek a zúčtování a vypořádání vyrovnávacího plynu ve stavu nouze a při předcházení stavu nouze, postupy a termíny pro předkládání nominací a renominací, postup provozovatele zásobníku plynu při prodeji nevytěženého plynu z</w:t>
      </w:r>
      <w:r w:rsidR="00F7271D">
        <w:t>e</w:t>
      </w:r>
      <w:r w:rsidRPr="00D76DF5">
        <w:t> zásobníku plynu po zániku smlouvy o uskladňování plynu, pravidla organizace krátkodobých trhů a způsoby jejich vypořádání, pravidla tvorby, přiřazení a užití typových diagramů dodávek plynu, termíny a postup při volbě a změně dodavatele plynu včetně registrace odběrných a předávacích míst, postup při přerušení, omezení a obnovení dodávky plynu při neoprávněném odběru, neoprávněné distribuci a neoprávněné přepravě, postup při zajištění dodávky plynu dodavatelem poslední instance, skladbu ceny služby přepravy plynu, skladbu ceny služby distribuční soustavy a ostatních regulovaných cen v plynárenství a způsob a termíny předávání údajů mezi účastníky trhu s plynem pro vyúčtování regulovaných cen a způsob a termíny účtování a hrazení regulovaných cen mezi účastníky trhu s plynem, technické požadavky na provoz pro ověření technologie a postup pro stanovení zálohových plateb. Předkládaný návrh vyhlášky je v souladu s tímto zákonem.</w:t>
      </w:r>
    </w:p>
    <w:p w:rsidR="003122BA" w:rsidRDefault="003122BA" w:rsidP="003122BA">
      <w:pPr>
        <w:rPr>
          <w:color w:val="000000" w:themeColor="text1"/>
        </w:rPr>
      </w:pPr>
      <w:r w:rsidRPr="00D76DF5">
        <w:t xml:space="preserve">Návrh vyhlášky je v souladu se směrnicí Evropského parlamentu a Rady 2009/73/ES o společných pravidlech pro </w:t>
      </w:r>
      <w:r w:rsidRPr="00D76DF5">
        <w:rPr>
          <w:color w:val="000000" w:themeColor="text1"/>
        </w:rPr>
        <w:t>vnitřní trh se zemním plynem a o zrušení směrnice 2003/55/ES a s Nařízením Evropského parlamentu a Rady (ES) č. 715/2009, o podmínkách přístupu k plynárenským přepravním soustavám a o zrušení nařízení (ES) 1775/2005.</w:t>
      </w:r>
    </w:p>
    <w:p w:rsidR="003122BA" w:rsidRPr="00D76DF5" w:rsidRDefault="003122BA" w:rsidP="003122BA">
      <w:r w:rsidRPr="00D76DF5">
        <w:lastRenderedPageBreak/>
        <w:t>Návrh vyhlášky není v rozporu s žádným předpisem evropského práva upravujícím oblast plynárenství.</w:t>
      </w:r>
    </w:p>
    <w:p w:rsidR="005E3735" w:rsidRDefault="005E3735" w:rsidP="001A680E">
      <w:pPr>
        <w:pStyle w:val="Nadpis2"/>
      </w:pPr>
      <w:r w:rsidRPr="00D76DF5">
        <w:t>Předpokládaný hospodářský a finanční dosah navrhované právní úpravy na státní rozpočet, ostatní veřejné rozpočty, na podnikatelské prostředí České republiky, sociální dopady a dopady na životní prostředí</w:t>
      </w:r>
    </w:p>
    <w:p w:rsidR="00F95E07" w:rsidRPr="00D76DF5" w:rsidRDefault="00F95E07" w:rsidP="00F95E07">
      <w:r w:rsidRPr="00D76DF5">
        <w:t>Návrh vyhlášky nepředpokládá žádné dodatečné nároky na státní rozpočet ani rozpočet Energetického regulačního úřadu, stejně tak v důsledku úpravy vyhlášky nevznikne potřeba navýšení počtu pracovníků. V důsledku navrhované právní úpravy se rovněž nepředpokládá jakýkoli dopad do ostatních veřejných rozpočtů územních samosprávních celků.</w:t>
      </w:r>
    </w:p>
    <w:p w:rsidR="00F95E07" w:rsidRDefault="00F95E07" w:rsidP="00F95E07">
      <w:r w:rsidRPr="00D76DF5">
        <w:t xml:space="preserve">Návrh vyhlášky předpokládá minimální finanční zátěž pro </w:t>
      </w:r>
      <w:r w:rsidR="009C0F39">
        <w:t xml:space="preserve">účastníky trhu s plynem </w:t>
      </w:r>
      <w:r w:rsidR="0087640A">
        <w:t>v </w:t>
      </w:r>
      <w:r w:rsidR="009C0F39">
        <w:t>ČR</w:t>
      </w:r>
      <w:r w:rsidRPr="00D76DF5">
        <w:t>, na které se změna vyhlášky vztahuje. Podnikatelské prostředí v oblasti plynárenství v České republice primárně upravuje energetický zákon a na úrovni podzákonného právního předpisu bylo v základech nastaveno stávající vyhláškou č. 3</w:t>
      </w:r>
      <w:r>
        <w:t>49</w:t>
      </w:r>
      <w:r w:rsidRPr="00D76DF5">
        <w:t>/</w:t>
      </w:r>
      <w:r w:rsidR="00BE2566" w:rsidRPr="00D76DF5">
        <w:t>20</w:t>
      </w:r>
      <w:r w:rsidR="00BE2566">
        <w:t>15</w:t>
      </w:r>
      <w:r w:rsidR="00BE2566" w:rsidRPr="00D76DF5">
        <w:t xml:space="preserve"> </w:t>
      </w:r>
      <w:r w:rsidRPr="00D76DF5">
        <w:t xml:space="preserve">Sb., </w:t>
      </w:r>
      <w:r w:rsidR="00A164BC">
        <w:t>která nahradila vyhlášku č. </w:t>
      </w:r>
      <w:r>
        <w:t xml:space="preserve">365/2009 Sb., ve znění pozdějších předpisů, </w:t>
      </w:r>
      <w:r w:rsidR="00DC5A28">
        <w:t>a </w:t>
      </w:r>
      <w:r>
        <w:t xml:space="preserve">kontinuálně rozvíjí principy, postupy </w:t>
      </w:r>
      <w:r w:rsidR="00DC5A28">
        <w:t>a </w:t>
      </w:r>
      <w:r>
        <w:t>procesy nastavené pro trh s plynem v ČR v roce 2009</w:t>
      </w:r>
      <w:r w:rsidRPr="00D76DF5">
        <w:t>.</w:t>
      </w:r>
      <w:r>
        <w:t xml:space="preserve"> Tímto postupem je zajištěno stabilní </w:t>
      </w:r>
      <w:r w:rsidR="00DC5A28">
        <w:t>a </w:t>
      </w:r>
      <w:r>
        <w:t>předvídatelné prostředí pro všechny účastníky trhu s plynem v ČR.</w:t>
      </w:r>
    </w:p>
    <w:p w:rsidR="005719B3" w:rsidRDefault="00F95E07" w:rsidP="00D57ADA">
      <w:pPr>
        <w:spacing w:before="120"/>
      </w:pPr>
      <w:r w:rsidRPr="00D76DF5">
        <w:t xml:space="preserve">Očekává se zlepšení sociálního a podnikatelského prostředí, </w:t>
      </w:r>
      <w:r w:rsidR="00DC5A28">
        <w:t>a </w:t>
      </w:r>
      <w:r w:rsidR="001B14C4">
        <w:t>to zejména z</w:t>
      </w:r>
      <w:r w:rsidR="005719B3">
        <w:t> </w:t>
      </w:r>
      <w:r w:rsidR="001B14C4">
        <w:t>důvodu</w:t>
      </w:r>
      <w:r w:rsidR="005719B3">
        <w:t>:</w:t>
      </w:r>
    </w:p>
    <w:p w:rsidR="00186AA8" w:rsidRDefault="001B14C4" w:rsidP="00DF68D4">
      <w:pPr>
        <w:pStyle w:val="Odstavecseseznamem"/>
        <w:numPr>
          <w:ilvl w:val="0"/>
          <w:numId w:val="4"/>
        </w:numPr>
        <w:spacing w:before="120"/>
        <w:ind w:left="714" w:hanging="357"/>
      </w:pPr>
      <w:r>
        <w:t xml:space="preserve">rozšíření </w:t>
      </w:r>
      <w:r w:rsidR="00A164BC">
        <w:t>možností</w:t>
      </w:r>
      <w:r>
        <w:t>, za nichž lze přistupovat k zásobníkům plynu</w:t>
      </w:r>
      <w:r w:rsidR="00DF68D4">
        <w:t xml:space="preserve"> </w:t>
      </w:r>
      <w:r w:rsidR="00F95E07" w:rsidRPr="00D76DF5">
        <w:t>a </w:t>
      </w:r>
    </w:p>
    <w:p w:rsidR="00A52D97" w:rsidRDefault="00F95E07" w:rsidP="00DC5A28">
      <w:pPr>
        <w:pStyle w:val="Odstavecseseznamem"/>
        <w:numPr>
          <w:ilvl w:val="0"/>
          <w:numId w:val="4"/>
        </w:numPr>
      </w:pPr>
      <w:r w:rsidRPr="00D76DF5">
        <w:t xml:space="preserve">úpravy ustanovení, která v účinném znění nabízejí nejednoznačný nebo nepřesný výklad. </w:t>
      </w:r>
    </w:p>
    <w:p w:rsidR="00F95E07" w:rsidRDefault="00F95E07" w:rsidP="00F95E07">
      <w:r w:rsidRPr="00D76DF5">
        <w:t xml:space="preserve">Návrh </w:t>
      </w:r>
      <w:r w:rsidR="00A52D97">
        <w:t>úpravy</w:t>
      </w:r>
      <w:r w:rsidRPr="00D76DF5">
        <w:t xml:space="preserve"> vyhlášky je koncipován tak, aby </w:t>
      </w:r>
      <w:r w:rsidR="00A52D97">
        <w:t xml:space="preserve">prostřednictvím tržních </w:t>
      </w:r>
      <w:r w:rsidR="00DC5A28">
        <w:t>a </w:t>
      </w:r>
      <w:r w:rsidR="00A52D97">
        <w:t xml:space="preserve">transparentních mechanismů </w:t>
      </w:r>
      <w:r w:rsidRPr="00D76DF5">
        <w:t>byla minimalizována finanční zátěž na straně účastníků trhu s</w:t>
      </w:r>
      <w:r>
        <w:t> </w:t>
      </w:r>
      <w:r w:rsidRPr="00D76DF5">
        <w:t>plynem včetně konečných spotřebitelů.</w:t>
      </w:r>
    </w:p>
    <w:p w:rsidR="00F220AF" w:rsidRPr="00D76DF5" w:rsidRDefault="00F220AF" w:rsidP="00F220AF">
      <w:pPr>
        <w:keepNext/>
      </w:pPr>
      <w:r w:rsidRPr="00D76DF5">
        <w:t xml:space="preserve">V důsledku úpravy vyhlášky se nepředpokládají negativní sociální dopady. Návrh vyhlášky nemá vliv na rovnost mužů a žen, ani na postavení specifických skupin obyvatel včetně sociálně slabých, osob se zdravotním postižením a národnostních menšin. Návrh vyhlášky nemá dopad na životní prostředí. </w:t>
      </w:r>
    </w:p>
    <w:p w:rsidR="0044259B" w:rsidRDefault="0044259B" w:rsidP="001A680E">
      <w:pPr>
        <w:pStyle w:val="Nadpis2"/>
      </w:pPr>
      <w:r w:rsidRPr="00D76DF5">
        <w:t>Zhodnocení dopadů navrhovaného řešení ve vztahu k ochraně soukromí a osobních údajů</w:t>
      </w:r>
    </w:p>
    <w:p w:rsidR="0044259B" w:rsidRPr="0044259B" w:rsidRDefault="0044259B" w:rsidP="0044259B">
      <w:pPr>
        <w:keepNext/>
      </w:pPr>
      <w:r w:rsidRPr="0044259B">
        <w:t xml:space="preserve">Návrh vyhlášky plně respektuje principy právní úpravy ochrany soukromí osob </w:t>
      </w:r>
      <w:r w:rsidR="007E62B0" w:rsidRPr="0044259B">
        <w:t>a</w:t>
      </w:r>
      <w:r w:rsidR="007E62B0">
        <w:t> </w:t>
      </w:r>
      <w:r w:rsidRPr="0044259B">
        <w:t xml:space="preserve">jejich osobních údajů tak, jak jsou zakotveny zejména zákonem č. 101/2000 Sb., </w:t>
      </w:r>
      <w:r w:rsidR="007E62B0" w:rsidRPr="0044259B">
        <w:t>o</w:t>
      </w:r>
      <w:r w:rsidR="007E62B0">
        <w:t> </w:t>
      </w:r>
      <w:r w:rsidRPr="0044259B">
        <w:t xml:space="preserve">ochraně osobních údajů </w:t>
      </w:r>
      <w:r w:rsidR="007E62B0" w:rsidRPr="0044259B">
        <w:t>a</w:t>
      </w:r>
      <w:r w:rsidR="007E62B0">
        <w:t> </w:t>
      </w:r>
      <w:r w:rsidR="007E62B0" w:rsidRPr="0044259B">
        <w:t>o</w:t>
      </w:r>
      <w:r w:rsidR="007E62B0">
        <w:t> </w:t>
      </w:r>
      <w:r w:rsidRPr="0044259B">
        <w:t>změně některých zákonů.</w:t>
      </w:r>
    </w:p>
    <w:p w:rsidR="0044259B" w:rsidRDefault="0044259B" w:rsidP="001A680E">
      <w:pPr>
        <w:pStyle w:val="Nadpis2"/>
      </w:pPr>
      <w:r w:rsidRPr="00D76DF5">
        <w:t>Zhodnocení korupčních rizik</w:t>
      </w:r>
    </w:p>
    <w:p w:rsidR="0044259B" w:rsidRPr="0044259B" w:rsidRDefault="00D57ADA" w:rsidP="0044259B">
      <w:r w:rsidRPr="00D57ADA">
        <w:t xml:space="preserve">Návrh vyhlášky nepředpokládá jakékoliv zvýšené korupční riziko. Jedná se </w:t>
      </w:r>
      <w:r w:rsidR="00BE2566" w:rsidRPr="00D57ADA">
        <w:t>z</w:t>
      </w:r>
      <w:r w:rsidR="00BE2566">
        <w:t> </w:t>
      </w:r>
      <w:r w:rsidRPr="00D57ADA">
        <w:t xml:space="preserve">velké části </w:t>
      </w:r>
      <w:r w:rsidR="00BE2566" w:rsidRPr="00D57ADA">
        <w:t>o</w:t>
      </w:r>
      <w:r w:rsidR="00BE2566">
        <w:t> </w:t>
      </w:r>
      <w:r w:rsidRPr="00D57ADA">
        <w:t xml:space="preserve">úpravu pravidel vycházející </w:t>
      </w:r>
      <w:r w:rsidR="00BE2566" w:rsidRPr="00D57ADA">
        <w:t>z</w:t>
      </w:r>
      <w:r w:rsidR="00BE2566">
        <w:t> </w:t>
      </w:r>
      <w:r w:rsidRPr="00D57ADA">
        <w:t>právních předpisů Evropské unie. Tyto změny de facto neumožňují vznik korupčního prostředí. Návrh vyhlášky proto nepředpokládá založení korupčních rizik ani jejich nárůst.</w:t>
      </w:r>
    </w:p>
    <w:p w:rsidR="00227527" w:rsidRDefault="00BB052E" w:rsidP="00DD04EA">
      <w:pPr>
        <w:pStyle w:val="Nadpis1"/>
      </w:pPr>
      <w:r w:rsidRPr="00BB052E">
        <w:lastRenderedPageBreak/>
        <w:t xml:space="preserve">Závěrečná zpráva </w:t>
      </w:r>
      <w:r w:rsidR="007E62B0" w:rsidRPr="00BB052E">
        <w:t>o</w:t>
      </w:r>
      <w:r w:rsidR="007E62B0">
        <w:t> </w:t>
      </w:r>
      <w:r w:rsidRPr="00BB052E">
        <w:t>hodnocení dopadů regulace</w:t>
      </w:r>
    </w:p>
    <w:p w:rsidR="00612ABD" w:rsidRDefault="00612ABD" w:rsidP="00612ABD">
      <w:pPr>
        <w:pStyle w:val="Nadpis2-zvren"/>
      </w:pPr>
      <w:r w:rsidRPr="00612ABD">
        <w:t>Důvod</w:t>
      </w:r>
      <w:r>
        <w:t xml:space="preserve"> </w:t>
      </w:r>
      <w:r w:rsidRPr="00612ABD">
        <w:t>předložení</w:t>
      </w:r>
      <w:r>
        <w:t xml:space="preserve"> </w:t>
      </w:r>
      <w:r w:rsidR="007E62B0">
        <w:t>a </w:t>
      </w:r>
      <w:r>
        <w:t>cíle</w:t>
      </w:r>
    </w:p>
    <w:p w:rsidR="00612ABD" w:rsidRDefault="00612ABD" w:rsidP="00612ABD">
      <w:pPr>
        <w:pStyle w:val="Nadpis3-zvren"/>
      </w:pPr>
      <w:r w:rsidRPr="00612ABD">
        <w:t>Název</w:t>
      </w:r>
    </w:p>
    <w:p w:rsidR="00612ABD" w:rsidRDefault="00612ABD" w:rsidP="00612ABD">
      <w:pPr>
        <w:pStyle w:val="Nadpis3-zvren"/>
      </w:pPr>
      <w:r>
        <w:t>Definice problému</w:t>
      </w:r>
    </w:p>
    <w:p w:rsidR="00253061" w:rsidRDefault="00253061" w:rsidP="00612ABD">
      <w:pPr>
        <w:pStyle w:val="Nadpis3-zvren"/>
      </w:pPr>
      <w:r>
        <w:t>Popis existujícího právního stavu v dané oblasti</w:t>
      </w:r>
    </w:p>
    <w:p w:rsidR="00253061" w:rsidRDefault="00253061" w:rsidP="00612ABD">
      <w:pPr>
        <w:pStyle w:val="Nadpis3-zvren"/>
      </w:pPr>
      <w:r>
        <w:t>Identifikace dotčených subjektů</w:t>
      </w:r>
    </w:p>
    <w:p w:rsidR="00253061" w:rsidRDefault="00253061" w:rsidP="00253061">
      <w:pPr>
        <w:pStyle w:val="Nadpis3-zvren"/>
      </w:pPr>
      <w:r>
        <w:t>Popis cílového stavu</w:t>
      </w:r>
    </w:p>
    <w:p w:rsidR="0035728E" w:rsidRDefault="00253061" w:rsidP="00253061">
      <w:pPr>
        <w:pStyle w:val="Nadpis3-zvren"/>
      </w:pPr>
      <w:r>
        <w:t>Zhodnocení rizika</w:t>
      </w:r>
    </w:p>
    <w:p w:rsidR="002D20F7" w:rsidRDefault="0035728E" w:rsidP="0035728E">
      <w:r>
        <w:t xml:space="preserve">[Pro MPŘ a </w:t>
      </w:r>
      <w:r w:rsidR="006B1333">
        <w:t>LRV</w:t>
      </w:r>
      <w:r>
        <w:t xml:space="preserve"> bude doplněno]</w:t>
      </w:r>
      <w:r w:rsidR="002D20F7">
        <w:br w:type="page"/>
      </w:r>
    </w:p>
    <w:p w:rsidR="00253061" w:rsidRDefault="00253061" w:rsidP="00253061">
      <w:pPr>
        <w:pStyle w:val="Nadpis3-zvren"/>
        <w:numPr>
          <w:ilvl w:val="0"/>
          <w:numId w:val="3"/>
        </w:numPr>
      </w:pPr>
      <w:r>
        <w:t>Návrh variant řešení</w:t>
      </w:r>
    </w:p>
    <w:p w:rsidR="00500755" w:rsidRPr="009C36AA" w:rsidRDefault="009C36AA" w:rsidP="009C36AA">
      <w:pPr>
        <w:pStyle w:val="IDPROBLEM"/>
      </w:pPr>
      <w:r w:rsidRPr="009C36AA">
        <w:t xml:space="preserve">Zavedení dalšího </w:t>
      </w:r>
      <w:r w:rsidR="009E25B2">
        <w:t xml:space="preserve">aukčního </w:t>
      </w:r>
      <w:r w:rsidRPr="009C36AA">
        <w:t>mechanismu pro přidělování skladovací</w:t>
      </w:r>
      <w:r w:rsidR="009E25B2">
        <w:t>ch</w:t>
      </w:r>
      <w:r w:rsidRPr="009C36AA">
        <w:t xml:space="preserve"> kapacit</w:t>
      </w:r>
    </w:p>
    <w:p w:rsidR="00500755" w:rsidRDefault="00500755" w:rsidP="00500755">
      <w:pPr>
        <w:pStyle w:val="Nadpis4-zvren"/>
      </w:pPr>
      <w:r>
        <w:t>Identifikace problému</w:t>
      </w:r>
    </w:p>
    <w:p w:rsidR="00751E85" w:rsidRDefault="003122BA" w:rsidP="00751E85">
      <w:r w:rsidRPr="003122BA">
        <w:t xml:space="preserve">Alokace skladovací kapacity probíhá prostřednictvím aukce, kdy je využíván algoritmus tzv. anglické aukce, kdy prodávající zvyšuje cenu mezi jednotlivými aukčními koly, </w:t>
      </w:r>
      <w:r w:rsidR="00BE2566" w:rsidRPr="003122BA">
        <w:t>v</w:t>
      </w:r>
      <w:r w:rsidR="00BE2566">
        <w:t> </w:t>
      </w:r>
      <w:r w:rsidRPr="003122BA">
        <w:t xml:space="preserve">nichž zájemci </w:t>
      </w:r>
      <w:r w:rsidR="00BE2566" w:rsidRPr="003122BA">
        <w:t>o</w:t>
      </w:r>
      <w:r w:rsidR="00BE2566">
        <w:t> </w:t>
      </w:r>
      <w:r w:rsidRPr="003122BA">
        <w:t xml:space="preserve">skladovací kapacitu zadávají požadované množství </w:t>
      </w:r>
      <w:r w:rsidR="00C3526A" w:rsidRPr="003122BA">
        <w:t>skladova</w:t>
      </w:r>
      <w:r w:rsidR="00C3526A">
        <w:t>cí</w:t>
      </w:r>
      <w:r w:rsidR="00C3526A" w:rsidRPr="003122BA">
        <w:t xml:space="preserve"> </w:t>
      </w:r>
      <w:r w:rsidRPr="003122BA">
        <w:t xml:space="preserve">kapacity. Aukce je ukončena </w:t>
      </w:r>
      <w:r w:rsidR="00BE2566" w:rsidRPr="003122BA">
        <w:t>v</w:t>
      </w:r>
      <w:r w:rsidR="00BE2566">
        <w:t> </w:t>
      </w:r>
      <w:r w:rsidRPr="003122BA">
        <w:t xml:space="preserve">okamžiku, kdy není </w:t>
      </w:r>
      <w:r w:rsidR="00BE2566" w:rsidRPr="003122BA">
        <w:t>v</w:t>
      </w:r>
      <w:r w:rsidR="00BE2566">
        <w:t> </w:t>
      </w:r>
      <w:r w:rsidRPr="003122BA">
        <w:t xml:space="preserve">aukčním kole alokováno 100 % skladovací kapacity. Základní pravidla této aukce jsou stanovena ve vyhlášce </w:t>
      </w:r>
      <w:r w:rsidR="00BE2566" w:rsidRPr="003122BA">
        <w:t>o</w:t>
      </w:r>
      <w:r w:rsidR="00BE2566">
        <w:t> </w:t>
      </w:r>
      <w:r w:rsidRPr="003122BA">
        <w:t xml:space="preserve">Pravidlech trhu </w:t>
      </w:r>
      <w:r w:rsidR="00BE2566" w:rsidRPr="003122BA">
        <w:t>s</w:t>
      </w:r>
      <w:r w:rsidR="00BE2566">
        <w:t> </w:t>
      </w:r>
      <w:r w:rsidRPr="003122BA">
        <w:t xml:space="preserve">plynem. Provozovatelé zásobníku plynu dlouhodobě tato pravidla označují za příliš striktní </w:t>
      </w:r>
      <w:r w:rsidR="00BE2566" w:rsidRPr="003122BA">
        <w:t>a</w:t>
      </w:r>
      <w:r w:rsidR="00BE2566">
        <w:t> </w:t>
      </w:r>
      <w:r w:rsidRPr="003122BA">
        <w:t>navrhli zavedení alternativního aukčního mechanismu. Tímto alternativním mechanismem by měl být algoritmus klesající aukce, tzv. holandská aukce. Provozovatelé zásobníků plynu navíc navrhovali, aby došlo ke stanovení minimální ceny, za kterou je provozovatel zásobníku plynu povinen nabízenou skladovací kapacitu alokovat.</w:t>
      </w:r>
      <w:r w:rsidR="00E23A26">
        <w:t xml:space="preserve"> Naproti tomu uživatelé zásobníku plynu považují stávající aukční mechanismus za vyhovující a vyjádřili v rámci veřejného konzultačního procesu obavu, že aukce s klesající cenou povede k navýšení nákladů spojených s uskladněním plynu.</w:t>
      </w:r>
    </w:p>
    <w:p w:rsidR="00500755" w:rsidRDefault="00500755" w:rsidP="00500755">
      <w:pPr>
        <w:pStyle w:val="Nadpis4-zvren"/>
      </w:pPr>
      <w:r>
        <w:t>Návrh variant řešení</w:t>
      </w:r>
    </w:p>
    <w:p w:rsidR="00500755" w:rsidRDefault="00500755" w:rsidP="00500755">
      <w:pPr>
        <w:pStyle w:val="Varianty"/>
      </w:pPr>
      <w:r w:rsidRPr="00500755">
        <w:t>Varianta I</w:t>
      </w:r>
    </w:p>
    <w:p w:rsidR="00C8673E" w:rsidRPr="00500755" w:rsidRDefault="00A761ED" w:rsidP="00C8673E">
      <w:r>
        <w:t>Rezignovat na úpravu vyhlášky</w:t>
      </w:r>
      <w:r w:rsidR="00834C31">
        <w:t>, tzn. zachovat pouze jeden aukční mechanismu pro přidělování skladovací kapacity</w:t>
      </w:r>
      <w:r w:rsidR="00C8673E">
        <w:t>.</w:t>
      </w:r>
    </w:p>
    <w:p w:rsidR="00500755" w:rsidRDefault="00500755" w:rsidP="00500755">
      <w:pPr>
        <w:pStyle w:val="Varianty"/>
      </w:pPr>
      <w:r>
        <w:t>Varianta II</w:t>
      </w:r>
    </w:p>
    <w:p w:rsidR="00C8673E" w:rsidRDefault="00A761ED" w:rsidP="00C8673E">
      <w:r>
        <w:t>Umožnit alokaci skladovací kapacity pomocí aukce s Vickereyovým algoritmem</w:t>
      </w:r>
    </w:p>
    <w:p w:rsidR="00637B1B" w:rsidRDefault="002A507D" w:rsidP="006E055B">
      <w:r>
        <w:t xml:space="preserve">V případě této varianty zasílá účastník aukce svoji nabídku bez znalosti nabídek ostatních účastníků. Vítězem aukčního kola je zájemce </w:t>
      </w:r>
      <w:r w:rsidR="00BE2566">
        <w:t>o </w:t>
      </w:r>
      <w:r>
        <w:t>skladovací kapacitu, který v daném kole nabídne nejvyšší cenu. Za požadovaný objem skladovací kapacity však zaplatí cenu</w:t>
      </w:r>
      <w:r w:rsidR="00F7271D">
        <w:t>, kterou nabídl</w:t>
      </w:r>
      <w:r w:rsidR="00521677">
        <w:t xml:space="preserve"> zájemce </w:t>
      </w:r>
      <w:r w:rsidR="00BE2566">
        <w:t>s </w:t>
      </w:r>
      <w:r w:rsidR="00521677">
        <w:t>druhou nejvyšší nabídkou</w:t>
      </w:r>
      <w:r>
        <w:t>.</w:t>
      </w:r>
      <w:r w:rsidR="00521677">
        <w:t xml:space="preserve"> Na základě teorie her je tak v aukčním kole zájemci </w:t>
      </w:r>
      <w:r w:rsidR="00BE2566">
        <w:t>o </w:t>
      </w:r>
      <w:r w:rsidR="00521677">
        <w:t xml:space="preserve">skladovací kapacitu nabídnuta skutečná hodnota skladovací kapacity. </w:t>
      </w:r>
      <w:r w:rsidR="006E055B">
        <w:t xml:space="preserve">Aukční mechanismus založený na </w:t>
      </w:r>
      <w:r w:rsidR="00521677">
        <w:t>tomto aukčním algoritmu</w:t>
      </w:r>
      <w:r w:rsidR="006E055B">
        <w:t xml:space="preserve"> je strategicky nemanipulovatelný. Hráč deklarující nepravdivé ohodnocení předmětu nezíská víc</w:t>
      </w:r>
      <w:r w:rsidR="00956403">
        <w:t>,</w:t>
      </w:r>
      <w:r w:rsidR="00C3526A">
        <w:t xml:space="preserve"> neboť</w:t>
      </w:r>
      <w:r w:rsidR="00DF68D4">
        <w:t xml:space="preserve"> </w:t>
      </w:r>
      <w:r w:rsidR="00956403">
        <w:t>právě</w:t>
      </w:r>
      <w:r w:rsidR="006E055B">
        <w:t xml:space="preserve"> </w:t>
      </w:r>
      <w:r w:rsidR="00C3526A">
        <w:t>p</w:t>
      </w:r>
      <w:r w:rsidR="00521677">
        <w:t xml:space="preserve">ravdivá nabídka je tou nejlepší strategií bez ohledu na nabídky ostatních zájemců, </w:t>
      </w:r>
      <w:r w:rsidR="00BE2566">
        <w:t>i </w:t>
      </w:r>
      <w:r w:rsidR="00521677">
        <w:t xml:space="preserve">když tito zájemci mohou svoji nabídku podhodnocovat, nadhodnocovat, domlouvat se nebo se chovat nepředvídatelným způsobem. </w:t>
      </w:r>
    </w:p>
    <w:p w:rsidR="006E055B" w:rsidRDefault="00637B1B" w:rsidP="006E055B">
      <w:r>
        <w:t>Zájemci mohou</w:t>
      </w:r>
      <w:r w:rsidR="006E055B">
        <w:t xml:space="preserve"> manipulovat volbu snahou </w:t>
      </w:r>
      <w:r w:rsidR="00BE2566">
        <w:t>o </w:t>
      </w:r>
      <w:r w:rsidR="006E055B">
        <w:t>ovlivnění</w:t>
      </w:r>
      <w:r w:rsidR="00521677">
        <w:t xml:space="preserve"> prvního </w:t>
      </w:r>
      <w:r w:rsidR="00BE2566">
        <w:t>a </w:t>
      </w:r>
      <w:r w:rsidR="00521677">
        <w:t xml:space="preserve">druhého členu platby, nicméně vzhledem k prostředí na trhu s plynem v ČR je toto nepravděpodobné. </w:t>
      </w:r>
    </w:p>
    <w:p w:rsidR="006E055B" w:rsidRDefault="00521677" w:rsidP="00C8673E">
      <w:r>
        <w:t xml:space="preserve">Tento algoritmus </w:t>
      </w:r>
      <w:r w:rsidR="00637B1B">
        <w:t xml:space="preserve">představuje pro zájemce </w:t>
      </w:r>
      <w:r w:rsidR="00BE2566">
        <w:t>o </w:t>
      </w:r>
      <w:r w:rsidR="00637B1B">
        <w:t xml:space="preserve">skladovací kapacitu algoritmus, kdy náklady na skladovací kapacitu </w:t>
      </w:r>
      <w:r w:rsidR="00C3526A">
        <w:t xml:space="preserve">by měly být </w:t>
      </w:r>
      <w:r w:rsidR="00637B1B">
        <w:t>v konečném součtu stejné jako v případě aukce s rostoucí cenou</w:t>
      </w:r>
      <w:r w:rsidR="00523B74">
        <w:t>, dochází tzv. ekvivalenci příjmů</w:t>
      </w:r>
      <w:r w:rsidR="00637B1B">
        <w:t>. Současně je cena za skladovací kapacitu plně dána ohodnocením ze strany zájemce na základě vyhodnocení podmínek na trhu. Provozovatel zásobníku plynu tak není zatížen stanovením vyvolávací ceny aukce.</w:t>
      </w:r>
    </w:p>
    <w:p w:rsidR="00500755" w:rsidRDefault="00500755" w:rsidP="00500755">
      <w:pPr>
        <w:pStyle w:val="Varianty"/>
      </w:pPr>
      <w:r>
        <w:t>Varianta III</w:t>
      </w:r>
    </w:p>
    <w:p w:rsidR="00C8673E" w:rsidRDefault="00A761ED" w:rsidP="00FC31E5">
      <w:r>
        <w:t xml:space="preserve">Umožnit alokaci skladovací kapacity pomocí klesající aukce </w:t>
      </w:r>
    </w:p>
    <w:p w:rsidR="009221FE" w:rsidRDefault="00FC31E5" w:rsidP="00FC31E5">
      <w:r>
        <w:t xml:space="preserve">Jedná se </w:t>
      </w:r>
      <w:r w:rsidR="00BE2566">
        <w:t>o </w:t>
      </w:r>
      <w:r>
        <w:t xml:space="preserve">otevřenou aukci s klesající cenou, kdy je za výchozí cenu předem stanovena hodnota skladovací kapacity. Tato cena je podle teorie aukcí vyšší než pravděpodobná nejvyšší nabídka kupujícího. Cena mezi jednotlivými aukčními koly </w:t>
      </w:r>
      <w:r w:rsidR="00C33EE2">
        <w:t xml:space="preserve">se </w:t>
      </w:r>
      <w:r>
        <w:t xml:space="preserve">snižuje </w:t>
      </w:r>
      <w:r w:rsidR="00BE2566">
        <w:t>o </w:t>
      </w:r>
      <w:r>
        <w:t xml:space="preserve">předem známou hodnotu. Skladovací kapacita je v příslušném aukčním kole přidělena tomu subjektu, který cenu akceptuje </w:t>
      </w:r>
      <w:r w:rsidR="00BE2566">
        <w:t>a </w:t>
      </w:r>
      <w:r>
        <w:t xml:space="preserve">je ochoten za </w:t>
      </w:r>
      <w:r w:rsidR="00C33EE2">
        <w:t>požadovaný</w:t>
      </w:r>
      <w:r>
        <w:t xml:space="preserve"> objem skladovací kapacity zaplatit</w:t>
      </w:r>
      <w:r w:rsidR="00C33EE2">
        <w:t xml:space="preserve"> příslušnou cenu</w:t>
      </w:r>
      <w:r w:rsidR="009221FE">
        <w:t>.</w:t>
      </w:r>
      <w:r w:rsidR="006E055B">
        <w:t xml:space="preserve"> Stanovení minimální ceny je prvek aukce, s nímž teorie neuvažuje, neboť se jedná </w:t>
      </w:r>
      <w:r w:rsidR="00BE2566">
        <w:t>o </w:t>
      </w:r>
      <w:r w:rsidR="006E055B">
        <w:t>nepřirozený prvek narušující princip aukce, kdy se střetává nabídka s poptávkou.</w:t>
      </w:r>
    </w:p>
    <w:p w:rsidR="00FC31E5" w:rsidRDefault="009221FE" w:rsidP="00FC31E5">
      <w:r>
        <w:t>Nastavení minimální ceny eliminuje riziko provozovatele zásobníku plynu, že skladovací kapacitu alokuje za cenu nižší, než jsou jeho náklady na tuto kapacitu. P</w:t>
      </w:r>
      <w:r w:rsidRPr="009221FE">
        <w:t xml:space="preserve">rodávající volí </w:t>
      </w:r>
      <w:r>
        <w:t>tento typ aukce, jestliže hodnotí aukce podle kritéria optimalizace (maximalizace) realizovaných výnosů, neboť podle dostupných důkazů teorie her</w:t>
      </w:r>
      <w:r w:rsidRPr="009221FE">
        <w:t xml:space="preserve"> je</w:t>
      </w:r>
      <w:r>
        <w:t xml:space="preserve"> výsledkem aukce</w:t>
      </w:r>
      <w:r w:rsidRPr="009221FE">
        <w:t xml:space="preserve"> vyšší dosažená prodejní cena</w:t>
      </w:r>
      <w:r>
        <w:t xml:space="preserve">. </w:t>
      </w:r>
    </w:p>
    <w:p w:rsidR="00500755" w:rsidRDefault="00500755" w:rsidP="00500755">
      <w:pPr>
        <w:pStyle w:val="Nadpis4-zvren"/>
      </w:pPr>
      <w:r>
        <w:t xml:space="preserve">Vyhodnocení nákladů </w:t>
      </w:r>
      <w:r w:rsidR="007E62B0">
        <w:t>a </w:t>
      </w:r>
      <w:r>
        <w:t>přínosů</w:t>
      </w:r>
    </w:p>
    <w:p w:rsidR="00487048" w:rsidRDefault="00487048" w:rsidP="00487048">
      <w:r>
        <w:t>Přestože je podle teorie her výsledkem aukce s Vickreyovým algoritmem stejná cena jako v případě aukce s rostoucí cenou</w:t>
      </w:r>
      <w:r w:rsidR="00F16C9A">
        <w:t>,</w:t>
      </w:r>
      <w:r>
        <w:t xml:space="preserve"> bude skladovací kapacita alokována za cenu, která odpovídá ohodnocení jednotlivými zájemci v aukci. Pro provozovatele zvolená varianta znamená, že dojde k efektivnímu prodeji nabízeného produktu za cenu, která odpovídá podmínkám na trhu s plynem ke dni konání aukce. </w:t>
      </w:r>
    </w:p>
    <w:p w:rsidR="00487048" w:rsidRDefault="00487048" w:rsidP="00487048">
      <w:r>
        <w:t xml:space="preserve">Náklady budou představovány potřebou upravit </w:t>
      </w:r>
      <w:r w:rsidR="00DE0967">
        <w:t xml:space="preserve">IT aplikaci, s jejíž pomocí je skladovací kapacita alokována. V této úpravě však není rozdíl mezi variantou II </w:t>
      </w:r>
      <w:r w:rsidR="00BE2566">
        <w:t>a </w:t>
      </w:r>
      <w:r w:rsidR="00DE0967">
        <w:t>III.</w:t>
      </w:r>
      <w:r w:rsidR="00AA5E12">
        <w:t xml:space="preserve"> Pokud provozovatel zásobníku plynu rozhodne </w:t>
      </w:r>
      <w:r w:rsidR="00BE2566">
        <w:t>o </w:t>
      </w:r>
      <w:r w:rsidR="00AA5E12">
        <w:t>neuplatnění alternativního aukčního algoritmu, budou náklady na IT nulové.</w:t>
      </w:r>
    </w:p>
    <w:p w:rsidR="00DE0967" w:rsidRDefault="00DE0967" w:rsidP="00487048">
      <w:r>
        <w:t xml:space="preserve">Pro obchodníky nový aukční mechanismus znamená potřebu správně ohodnotit situaci na trhu s plynem v kontextu stanovených povinností </w:t>
      </w:r>
      <w:r w:rsidR="00BE2566">
        <w:t>a </w:t>
      </w:r>
      <w:r>
        <w:t>v aukci nabídnout takovou cenu, která bude představovat reálné ohodnocení produktu. V případě nepravdivého ohodnocení nedojde k přidělení skladovací kapacity za tržní cenu.</w:t>
      </w:r>
    </w:p>
    <w:p w:rsidR="005D2513" w:rsidRDefault="005D2513" w:rsidP="00487048">
      <w:r>
        <w:t>Vyšší konečná cena získaná jako výsledek varianty III znamená vyšší benchmarkovou cenu při prodeji skladovací kapacity prostřednictvím sekundární platformy nebo při poskytování flexibility dalším účastníkům trhu s plynem.</w:t>
      </w:r>
    </w:p>
    <w:p w:rsidR="00500755" w:rsidRDefault="00500755" w:rsidP="00500755">
      <w:pPr>
        <w:pStyle w:val="Nadpis4-zvren"/>
      </w:pPr>
      <w:r>
        <w:t xml:space="preserve">Vyhodnocení nákladů </w:t>
      </w:r>
      <w:r w:rsidR="007E62B0">
        <w:t>a </w:t>
      </w:r>
      <w:r>
        <w:t>přínosů variant</w:t>
      </w:r>
    </w:p>
    <w:tbl>
      <w:tblPr>
        <w:tblStyle w:val="Mkatabulky"/>
        <w:tblW w:w="0" w:type="auto"/>
        <w:tblLook w:val="04A0" w:firstRow="1" w:lastRow="0" w:firstColumn="1" w:lastColumn="0" w:noHBand="0" w:noVBand="1"/>
      </w:tblPr>
      <w:tblGrid>
        <w:gridCol w:w="1809"/>
        <w:gridCol w:w="2694"/>
        <w:gridCol w:w="2630"/>
        <w:gridCol w:w="2155"/>
      </w:tblGrid>
      <w:tr w:rsidR="002160BF" w:rsidTr="00B0672E">
        <w:tc>
          <w:tcPr>
            <w:tcW w:w="1809" w:type="dxa"/>
          </w:tcPr>
          <w:p w:rsidR="002160BF" w:rsidRDefault="002160BF" w:rsidP="002160BF">
            <w:r>
              <w:t>Kritérium</w:t>
            </w:r>
          </w:p>
        </w:tc>
        <w:tc>
          <w:tcPr>
            <w:tcW w:w="2694" w:type="dxa"/>
          </w:tcPr>
          <w:p w:rsidR="002160BF" w:rsidRDefault="002160BF" w:rsidP="002160BF">
            <w:r>
              <w:t>Varianta I</w:t>
            </w:r>
          </w:p>
        </w:tc>
        <w:tc>
          <w:tcPr>
            <w:tcW w:w="2630" w:type="dxa"/>
          </w:tcPr>
          <w:p w:rsidR="002160BF" w:rsidRDefault="002160BF" w:rsidP="002160BF">
            <w:r>
              <w:t>Varianta II</w:t>
            </w:r>
          </w:p>
        </w:tc>
        <w:tc>
          <w:tcPr>
            <w:tcW w:w="2155" w:type="dxa"/>
          </w:tcPr>
          <w:p w:rsidR="002160BF" w:rsidRDefault="002160BF" w:rsidP="002160BF">
            <w:r>
              <w:t>Varianta III</w:t>
            </w:r>
          </w:p>
        </w:tc>
      </w:tr>
      <w:tr w:rsidR="002160BF" w:rsidTr="00B0672E">
        <w:tc>
          <w:tcPr>
            <w:tcW w:w="1809" w:type="dxa"/>
          </w:tcPr>
          <w:p w:rsidR="002160BF" w:rsidRDefault="002160BF" w:rsidP="002160BF">
            <w:r>
              <w:t>Vyvolávací cena</w:t>
            </w:r>
          </w:p>
        </w:tc>
        <w:tc>
          <w:tcPr>
            <w:tcW w:w="2694" w:type="dxa"/>
          </w:tcPr>
          <w:p w:rsidR="002160BF" w:rsidRDefault="002160BF" w:rsidP="00B0672E">
            <w:pPr>
              <w:jc w:val="left"/>
            </w:pPr>
            <w:r>
              <w:t>Odpovídá nákladům na skladovací kapacitu</w:t>
            </w:r>
          </w:p>
        </w:tc>
        <w:tc>
          <w:tcPr>
            <w:tcW w:w="2630" w:type="dxa"/>
          </w:tcPr>
          <w:p w:rsidR="002160BF" w:rsidRDefault="002160BF" w:rsidP="00B0672E">
            <w:pPr>
              <w:jc w:val="left"/>
            </w:pPr>
            <w:r>
              <w:t>Není stanovena</w:t>
            </w:r>
          </w:p>
        </w:tc>
        <w:tc>
          <w:tcPr>
            <w:tcW w:w="2155" w:type="dxa"/>
          </w:tcPr>
          <w:p w:rsidR="002160BF" w:rsidRDefault="002160BF" w:rsidP="00B0672E">
            <w:pPr>
              <w:jc w:val="left"/>
            </w:pPr>
            <w:r>
              <w:t>Vyšší než tržní cena</w:t>
            </w:r>
          </w:p>
        </w:tc>
      </w:tr>
      <w:tr w:rsidR="002160BF" w:rsidTr="00B0672E">
        <w:tc>
          <w:tcPr>
            <w:tcW w:w="1809" w:type="dxa"/>
          </w:tcPr>
          <w:p w:rsidR="002160BF" w:rsidRDefault="002160BF" w:rsidP="002160BF">
            <w:r>
              <w:t>Konečná cena</w:t>
            </w:r>
          </w:p>
        </w:tc>
        <w:tc>
          <w:tcPr>
            <w:tcW w:w="2694" w:type="dxa"/>
          </w:tcPr>
          <w:p w:rsidR="002160BF" w:rsidRDefault="002160BF" w:rsidP="00B0672E">
            <w:pPr>
              <w:jc w:val="left"/>
            </w:pPr>
            <w:r>
              <w:t>Odpovídá ohodnocení kapacity ze strany zájemce</w:t>
            </w:r>
          </w:p>
        </w:tc>
        <w:tc>
          <w:tcPr>
            <w:tcW w:w="2630" w:type="dxa"/>
          </w:tcPr>
          <w:p w:rsidR="002160BF" w:rsidRDefault="002160BF" w:rsidP="00B0672E">
            <w:pPr>
              <w:jc w:val="left"/>
            </w:pPr>
            <w:r>
              <w:t xml:space="preserve">Odpovídá ohodnocení </w:t>
            </w:r>
            <w:r w:rsidR="009E262F">
              <w:t>skladovací kapacit</w:t>
            </w:r>
            <w:r w:rsidR="00B441A9">
              <w:t>y</w:t>
            </w:r>
            <w:r w:rsidR="009E262F">
              <w:t xml:space="preserve"> </w:t>
            </w:r>
            <w:r>
              <w:t>zájemce</w:t>
            </w:r>
            <w:r w:rsidR="009E262F">
              <w:t xml:space="preserve">m </w:t>
            </w:r>
            <w:r w:rsidR="00BE2566">
              <w:t>o </w:t>
            </w:r>
            <w:r w:rsidR="009E262F">
              <w:t>její alokaci</w:t>
            </w:r>
          </w:p>
        </w:tc>
        <w:tc>
          <w:tcPr>
            <w:tcW w:w="2155" w:type="dxa"/>
          </w:tcPr>
          <w:p w:rsidR="002160BF" w:rsidRDefault="002160BF" w:rsidP="00B0672E">
            <w:pPr>
              <w:jc w:val="left"/>
            </w:pPr>
            <w:r>
              <w:t>Vyšší než tržní cena</w:t>
            </w:r>
          </w:p>
        </w:tc>
      </w:tr>
      <w:tr w:rsidR="002160BF" w:rsidTr="00B0672E">
        <w:tc>
          <w:tcPr>
            <w:tcW w:w="1809" w:type="dxa"/>
          </w:tcPr>
          <w:p w:rsidR="002160BF" w:rsidRDefault="002160BF" w:rsidP="002160BF">
            <w:r>
              <w:t>Strategická ovlivnitelnost</w:t>
            </w:r>
          </w:p>
        </w:tc>
        <w:tc>
          <w:tcPr>
            <w:tcW w:w="2694" w:type="dxa"/>
          </w:tcPr>
          <w:p w:rsidR="002160BF" w:rsidRDefault="00F16C9A" w:rsidP="00B0672E">
            <w:pPr>
              <w:jc w:val="left"/>
            </w:pPr>
            <w:r>
              <w:t>Neovlivnitelné</w:t>
            </w:r>
          </w:p>
        </w:tc>
        <w:tc>
          <w:tcPr>
            <w:tcW w:w="2630" w:type="dxa"/>
          </w:tcPr>
          <w:p w:rsidR="002160BF" w:rsidRDefault="005D2513" w:rsidP="00B0672E">
            <w:pPr>
              <w:jc w:val="left"/>
            </w:pPr>
            <w:r>
              <w:t>Neovlivnitelné</w:t>
            </w:r>
          </w:p>
        </w:tc>
        <w:tc>
          <w:tcPr>
            <w:tcW w:w="2155" w:type="dxa"/>
          </w:tcPr>
          <w:p w:rsidR="002160BF" w:rsidRDefault="005D2513" w:rsidP="00B0672E">
            <w:pPr>
              <w:jc w:val="left"/>
            </w:pPr>
            <w:r>
              <w:t>Neovlivnitelné</w:t>
            </w:r>
          </w:p>
        </w:tc>
      </w:tr>
      <w:tr w:rsidR="002160BF" w:rsidTr="00B0672E">
        <w:tc>
          <w:tcPr>
            <w:tcW w:w="1809" w:type="dxa"/>
          </w:tcPr>
          <w:p w:rsidR="002160BF" w:rsidRDefault="002160BF" w:rsidP="002160BF">
            <w:r>
              <w:t>Minimální cena</w:t>
            </w:r>
          </w:p>
        </w:tc>
        <w:tc>
          <w:tcPr>
            <w:tcW w:w="2694" w:type="dxa"/>
          </w:tcPr>
          <w:p w:rsidR="002160BF" w:rsidRDefault="002160BF" w:rsidP="00B0672E">
            <w:pPr>
              <w:jc w:val="left"/>
            </w:pPr>
            <w:r>
              <w:t>Dána vyvolávací cenou</w:t>
            </w:r>
          </w:p>
        </w:tc>
        <w:tc>
          <w:tcPr>
            <w:tcW w:w="2630" w:type="dxa"/>
          </w:tcPr>
          <w:p w:rsidR="002160BF" w:rsidRDefault="002160BF" w:rsidP="00B0672E">
            <w:pPr>
              <w:jc w:val="left"/>
            </w:pPr>
            <w:r>
              <w:t>Není stanovena</w:t>
            </w:r>
          </w:p>
        </w:tc>
        <w:tc>
          <w:tcPr>
            <w:tcW w:w="2155" w:type="dxa"/>
          </w:tcPr>
          <w:p w:rsidR="002160BF" w:rsidRDefault="002160BF" w:rsidP="00B0672E">
            <w:pPr>
              <w:jc w:val="left"/>
            </w:pPr>
            <w:r>
              <w:t>Určena provozovatelem zásobníku plynu</w:t>
            </w:r>
          </w:p>
        </w:tc>
      </w:tr>
    </w:tbl>
    <w:p w:rsidR="002160BF" w:rsidRDefault="002160BF" w:rsidP="002160BF"/>
    <w:p w:rsidR="00500755" w:rsidRDefault="00500755" w:rsidP="00500755">
      <w:pPr>
        <w:pStyle w:val="Nadpis4-zvren"/>
      </w:pPr>
      <w:r>
        <w:t>Návrh řešení</w:t>
      </w:r>
    </w:p>
    <w:p w:rsidR="00500755" w:rsidRDefault="00500755" w:rsidP="00500755">
      <w:pPr>
        <w:pStyle w:val="Nadpis5-zvren"/>
      </w:pPr>
      <w:r>
        <w:t xml:space="preserve">Stanovení pořadí variant </w:t>
      </w:r>
      <w:r w:rsidR="007E62B0">
        <w:t>a </w:t>
      </w:r>
      <w:r>
        <w:t>výběr nejvhodnějšího řešení</w:t>
      </w:r>
    </w:p>
    <w:p w:rsidR="00CF6DF8" w:rsidRDefault="00CF6DF8" w:rsidP="00CF6DF8">
      <w:r>
        <w:t xml:space="preserve">V případě této úpravy nedochází k nahrazení původního algoritmu. Tento algoritmus je doplněn </w:t>
      </w:r>
      <w:r w:rsidR="00BE2566">
        <w:t>o </w:t>
      </w:r>
      <w:r>
        <w:t>nový aukční mechanismus. Stávající aukční mechanismus není nutné nahrazovat, neboť prodej skladovací kapacity jeho prostřednictvím funguje. Z uvažovaných variant bylo zvoleno řešení, které lépe odpovídá požadavku na efektivní alokaci kapacit. V případě preference požadavku na optimalizaci</w:t>
      </w:r>
      <w:r w:rsidR="00A04F9D">
        <w:t xml:space="preserve"> (maximalizaci)</w:t>
      </w:r>
      <w:r>
        <w:t xml:space="preserve"> výnosů prodávajícího by byla zvolena varianta III.</w:t>
      </w:r>
    </w:p>
    <w:p w:rsidR="00500755" w:rsidRDefault="00500755" w:rsidP="00500755">
      <w:pPr>
        <w:pStyle w:val="Nadpis4-zvren"/>
      </w:pPr>
      <w:r>
        <w:t xml:space="preserve">Implementace doporučené varianty </w:t>
      </w:r>
      <w:r w:rsidR="007E62B0">
        <w:t>a </w:t>
      </w:r>
      <w:r>
        <w:t>vynucování</w:t>
      </w:r>
    </w:p>
    <w:p w:rsidR="00CF6DF8" w:rsidRDefault="00CF6DF8" w:rsidP="00CF6DF8">
      <w:r>
        <w:t xml:space="preserve">Na základě důkazů uvedených v odborné literatuře </w:t>
      </w:r>
      <w:r w:rsidR="00BE2566">
        <w:t>a </w:t>
      </w:r>
      <w:r>
        <w:t>posouzení variant aukčních algoritmů je do návrhu vyhlášky zapracována varianta II s tím, že vytváří alternativu ke stávajícímu aukčnímu mechanismu. Provozovatel zásobníku plynu při vyhlášení aukce na skladovací kapacitu v podmínkách aukce uvede algoritmus, kterým bude nabízená skladovací kapacita přidělována.</w:t>
      </w:r>
    </w:p>
    <w:p w:rsidR="00500755" w:rsidRDefault="00500755" w:rsidP="00500755">
      <w:pPr>
        <w:pStyle w:val="Nadpis4-zvren"/>
      </w:pPr>
      <w:r>
        <w:t>Přezkum účinnosti regulace</w:t>
      </w:r>
    </w:p>
    <w:p w:rsidR="00FC31E5" w:rsidRDefault="00487048" w:rsidP="00FC31E5">
      <w:r>
        <w:t xml:space="preserve">Energetický regulační úřad bude </w:t>
      </w:r>
      <w:r w:rsidR="00BE2566">
        <w:t>i </w:t>
      </w:r>
      <w:r>
        <w:t xml:space="preserve">nadále monitorovat aukce vyhlašované jednotlivými provozovateli zásobníku plynu. Vzhledem ke skutečnosti, že provozovatel zásobníku plynu může určit, jakým způsobem bude skladovací kapacita prodána </w:t>
      </w:r>
      <w:r w:rsidR="00BE2566">
        <w:t>a </w:t>
      </w:r>
      <w:r>
        <w:t xml:space="preserve">přidělena, bude předmětem monitoringu kontrola nového aukčního mechanismu, zda nedochází k nežádoucí kooperaci mezi zájemci </w:t>
      </w:r>
      <w:r w:rsidR="00BE2566">
        <w:t>o </w:t>
      </w:r>
      <w:r>
        <w:t>skladovací kapacitu.</w:t>
      </w:r>
    </w:p>
    <w:p w:rsidR="00A761ED" w:rsidRDefault="007F462D" w:rsidP="00500755">
      <w:pPr>
        <w:pStyle w:val="Nadpis4-zvren"/>
      </w:pPr>
      <w:r>
        <w:t xml:space="preserve">Konzultace </w:t>
      </w:r>
      <w:r w:rsidR="007E62B0">
        <w:t>a </w:t>
      </w:r>
      <w:r>
        <w:t>zdroje dat</w:t>
      </w:r>
    </w:p>
    <w:p w:rsidR="00637B1B" w:rsidRDefault="00637B1B" w:rsidP="00E015A4">
      <w:pPr>
        <w:pStyle w:val="Odstavecseseznamem"/>
        <w:numPr>
          <w:ilvl w:val="0"/>
          <w:numId w:val="18"/>
        </w:numPr>
      </w:pPr>
      <w:r>
        <w:t>Ausbel M. L.: „Auctions: Th</w:t>
      </w:r>
      <w:r w:rsidR="00FB5E9E">
        <w:t>e</w:t>
      </w:r>
      <w:r>
        <w:t>ory“ For the New Palgrave, University of Maryland</w:t>
      </w:r>
      <w:r w:rsidR="003E3414">
        <w:t xml:space="preserve"> (</w:t>
      </w:r>
      <w:r w:rsidR="00A04F9D">
        <w:t>http://</w:t>
      </w:r>
      <w:r w:rsidR="003E3414" w:rsidRPr="003E3414">
        <w:t>cs.cmu.edu%2F~sandholm%2Fcs15-892F13%2FAusubel_Auction_Theory_Palgrave.pdf</w:t>
      </w:r>
      <w:r w:rsidR="003E3414">
        <w:t>)</w:t>
      </w:r>
    </w:p>
    <w:p w:rsidR="00A761ED" w:rsidRDefault="00A761ED" w:rsidP="00E015A4">
      <w:pPr>
        <w:pStyle w:val="Odstavecseseznamem"/>
        <w:numPr>
          <w:ilvl w:val="0"/>
          <w:numId w:val="18"/>
        </w:numPr>
      </w:pPr>
      <w:r>
        <w:t xml:space="preserve">Easley D., Kleinberg J.: Network, Crowds, and Markets: Reasoning about </w:t>
      </w:r>
      <w:r w:rsidR="00BE2566">
        <w:t>a </w:t>
      </w:r>
      <w:r>
        <w:t>Highly Connected Worlds, Cambridge University Press, 2010.</w:t>
      </w:r>
    </w:p>
    <w:p w:rsidR="00A761ED" w:rsidRDefault="00A761ED" w:rsidP="00E015A4">
      <w:pPr>
        <w:pStyle w:val="Odstavecseseznamem"/>
        <w:numPr>
          <w:ilvl w:val="0"/>
          <w:numId w:val="18"/>
        </w:numPr>
      </w:pPr>
      <w:r>
        <w:t xml:space="preserve">Fiala P.: Aukce – teorie </w:t>
      </w:r>
      <w:r w:rsidR="00BE2566">
        <w:t>a </w:t>
      </w:r>
      <w:r>
        <w:t>praxe, Professional Publishing, 2012</w:t>
      </w:r>
    </w:p>
    <w:p w:rsidR="00A761ED" w:rsidRDefault="00A761ED" w:rsidP="00E015A4">
      <w:pPr>
        <w:pStyle w:val="Odstavecseseznamem"/>
        <w:numPr>
          <w:ilvl w:val="0"/>
          <w:numId w:val="18"/>
        </w:numPr>
      </w:pPr>
      <w:r>
        <w:t>Krishna V.: Auction Theory, Academic Press, 2009</w:t>
      </w:r>
    </w:p>
    <w:p w:rsidR="002D20F7" w:rsidRDefault="002D20F7" w:rsidP="00A761ED">
      <w:r>
        <w:br w:type="page"/>
      </w:r>
    </w:p>
    <w:p w:rsidR="0019440F" w:rsidRDefault="009C36AA" w:rsidP="009C36AA">
      <w:pPr>
        <w:pStyle w:val="IDPROBLEM"/>
      </w:pPr>
      <w:r>
        <w:t>Zavedení postupů pro přístup ke krátkodobému využití zásobníku plynu</w:t>
      </w:r>
    </w:p>
    <w:p w:rsidR="00481523" w:rsidRDefault="0019440F" w:rsidP="00481523">
      <w:pPr>
        <w:pStyle w:val="Nadpis4-zvren"/>
      </w:pPr>
      <w:r>
        <w:t>Identifikace problému</w:t>
      </w:r>
    </w:p>
    <w:p w:rsidR="00A030EB" w:rsidRDefault="003122BA" w:rsidP="00481523">
      <w:r>
        <w:t xml:space="preserve">Vyhláška </w:t>
      </w:r>
      <w:r w:rsidR="00BE2566">
        <w:t>o </w:t>
      </w:r>
      <w:r>
        <w:t xml:space="preserve">Pravidlech trhu s plynem ve znění vyhlášky č. 349/2015 Sb. upravuje postup </w:t>
      </w:r>
      <w:r w:rsidR="00BE2566">
        <w:t>a </w:t>
      </w:r>
      <w:r>
        <w:t xml:space="preserve">termíny při rezervaci roční </w:t>
      </w:r>
      <w:r w:rsidR="00BE2566">
        <w:t>a </w:t>
      </w:r>
      <w:r>
        <w:t xml:space="preserve">měsíční skladovací kapacity. </w:t>
      </w:r>
      <w:r w:rsidR="00923187">
        <w:t>V </w:t>
      </w:r>
      <w:r>
        <w:t xml:space="preserve">příslušných ustanoveních je popsán rovněž postup tvorby ceny za tuto skladovací kapacitu. Tento princip je založen na tržním mechanismu ohodnocení nabízeného produktu skladovací kapacity, kdy výsledná cena, za níž je skladovací kapacita obchodníkovi s plynem alokována, je dána cenou v aukčním kole, v němž naposledy došlo k alokaci 100 % nabízené skladovací kapacity. V případě denní kapacity je uveden pouze termín podávání žádostí </w:t>
      </w:r>
      <w:r w:rsidR="00BE2566">
        <w:t>a </w:t>
      </w:r>
      <w:r>
        <w:t xml:space="preserve">skutečnost, že provozovatel zásobníku plynu tyto žádosti vyhodnotí </w:t>
      </w:r>
      <w:r w:rsidR="00BE2566">
        <w:t>a </w:t>
      </w:r>
      <w:r>
        <w:t xml:space="preserve">oznámí výsledky rezervace skladovacích kapacit všem žadatelům. Stávající model trhu s plynem neumožňuje provozovateli zásobníku plynu nabízet skladovací produkt, který by zájemci </w:t>
      </w:r>
      <w:r w:rsidR="00BE2566">
        <w:t>o </w:t>
      </w:r>
      <w:r>
        <w:t xml:space="preserve">skladovací kapacitu (obchodníkovi) umožnil vyrovnat svoji pozici v rámci probíhajícího plynárenského dne prostřednictvím zásobníků plynu. V rámci veřejného konzultačního procesu </w:t>
      </w:r>
      <w:r w:rsidR="00923187">
        <w:t xml:space="preserve">pak </w:t>
      </w:r>
      <w:r>
        <w:t xml:space="preserve">byl identifikován požadavek, aby </w:t>
      </w:r>
      <w:r w:rsidRPr="009E262F">
        <w:t xml:space="preserve">bylo možné rezervovat skladovací kapacitu </w:t>
      </w:r>
      <w:r w:rsidR="00BE2566" w:rsidRPr="009E262F">
        <w:t>v</w:t>
      </w:r>
      <w:r w:rsidR="00BE2566">
        <w:t> </w:t>
      </w:r>
      <w:r w:rsidRPr="009E262F">
        <w:t>průběhu plynárenského dne.</w:t>
      </w:r>
      <w:r>
        <w:t xml:space="preserve"> Současně s tím byl ze strany obchodníků s plynem vznesen požadavek, aby stanovení ceny za denní </w:t>
      </w:r>
      <w:r w:rsidR="00BE2566">
        <w:t>a </w:t>
      </w:r>
      <w:r>
        <w:t xml:space="preserve">případnou vnitrodenní skladovací kapacitu probíhalo na transparentních principech, které budou založeny na </w:t>
      </w:r>
      <w:r w:rsidR="00923187">
        <w:t xml:space="preserve">tržních </w:t>
      </w:r>
      <w:r>
        <w:t>mechanismech.</w:t>
      </w:r>
    </w:p>
    <w:p w:rsidR="0019440F" w:rsidRDefault="0019440F" w:rsidP="0019440F">
      <w:pPr>
        <w:pStyle w:val="Nadpis4-zvren"/>
      </w:pPr>
      <w:r>
        <w:t>Návrh variant řešení</w:t>
      </w:r>
    </w:p>
    <w:p w:rsidR="0019440F" w:rsidRDefault="0019440F" w:rsidP="0019440F">
      <w:pPr>
        <w:pStyle w:val="Varianty"/>
      </w:pPr>
      <w:r w:rsidRPr="00500755">
        <w:t>Varianta I</w:t>
      </w:r>
    </w:p>
    <w:p w:rsidR="001D5CAA" w:rsidRPr="00500755" w:rsidRDefault="001D5CAA" w:rsidP="001D5CAA">
      <w:r>
        <w:t>Rezignovat na úpravu vyhlášky.</w:t>
      </w:r>
    </w:p>
    <w:p w:rsidR="0019440F" w:rsidRDefault="0019440F" w:rsidP="0019440F">
      <w:pPr>
        <w:pStyle w:val="Varianty"/>
      </w:pPr>
      <w:r>
        <w:t>Varianta II</w:t>
      </w:r>
    </w:p>
    <w:p w:rsidR="00C80EB2" w:rsidRDefault="00C80EB2" w:rsidP="00C80EB2">
      <w:r>
        <w:t xml:space="preserve">Úprava vyhlášky tak, aby provozovatel zásobníku plynu mohl nabízet </w:t>
      </w:r>
      <w:r w:rsidR="00923187">
        <w:t>skl</w:t>
      </w:r>
      <w:r w:rsidR="004F4C96">
        <w:t>a</w:t>
      </w:r>
      <w:r w:rsidR="00923187">
        <w:t xml:space="preserve">dovací kapacitu na následující den </w:t>
      </w:r>
      <w:r w:rsidR="0087640A">
        <w:t>a </w:t>
      </w:r>
      <w:r>
        <w:t>vnitrodenní skladovací kapacitu prostřednictvím aukcí s jednotnou cenou</w:t>
      </w:r>
      <w:r w:rsidR="00923187">
        <w:t>.</w:t>
      </w:r>
      <w:r>
        <w:t xml:space="preserve"> </w:t>
      </w:r>
      <w:r w:rsidR="00923187">
        <w:t xml:space="preserve">Aukce na vnitrodenní skladovací kapacitu se koná </w:t>
      </w:r>
      <w:r>
        <w:t xml:space="preserve">čtyřikrát v průběhu plynárenského dne. Nastavení termínů těchto aukcí bylo </w:t>
      </w:r>
      <w:r w:rsidR="00923187">
        <w:t xml:space="preserve">v návrhu </w:t>
      </w:r>
      <w:r>
        <w:t xml:space="preserve">zvoleno tak, aby maximálně reflektovalo chování obchodníků s plynem v průběhu plynárenského dne. </w:t>
      </w:r>
    </w:p>
    <w:p w:rsidR="000B5E8B" w:rsidRDefault="000B5E8B" w:rsidP="0080161F">
      <w:pPr>
        <w:pStyle w:val="Varianty"/>
      </w:pPr>
      <w:r>
        <w:t>Varianta III</w:t>
      </w:r>
    </w:p>
    <w:p w:rsidR="000B5E8B" w:rsidRDefault="000B5E8B" w:rsidP="000B5E8B">
      <w:r>
        <w:t>Úprava vyhlášky jiným způsobem než podle varianty II</w:t>
      </w:r>
    </w:p>
    <w:p w:rsidR="000B5E8B" w:rsidRDefault="000B5E8B" w:rsidP="000B5E8B">
      <w:r>
        <w:t xml:space="preserve">Energetický regulační úřad v rámci veřejného konzultačního procesu vyzval na workshopu konaném dne 31. března 2016 zástupce účastníků trhu s plynem, aby předali Úřadu své návrhy, jak by alokace skladovací kapacity v průběhu plynárenského dne měla být nastavena tak, aby vyhovovala potřebám obchodníků s plynem </w:t>
      </w:r>
      <w:r w:rsidR="00BE2566">
        <w:t>i </w:t>
      </w:r>
      <w:r>
        <w:t xml:space="preserve">možnostem provozovatelů zásobníku plynu. Vytvořením varianty III by nebyly respektovány názory, stanoviska </w:t>
      </w:r>
      <w:r w:rsidR="00BE2566">
        <w:t>a </w:t>
      </w:r>
      <w:r>
        <w:t>doporučení, která byla Úřadu doručena. Zároveň by jiné nastavení mohlo vést k založení nerovnováhy na trhu se skladovací kapacitou v České republice.</w:t>
      </w:r>
    </w:p>
    <w:p w:rsidR="0019440F" w:rsidRDefault="0019440F" w:rsidP="0019440F">
      <w:pPr>
        <w:pStyle w:val="Nadpis4-zvren"/>
      </w:pPr>
      <w:r>
        <w:t xml:space="preserve">Vyhodnocení nákladů </w:t>
      </w:r>
      <w:r w:rsidR="007E62B0">
        <w:t>a </w:t>
      </w:r>
      <w:r>
        <w:t>přínosů</w:t>
      </w:r>
    </w:p>
    <w:p w:rsidR="00C80EB2" w:rsidRDefault="00C80EB2" w:rsidP="00C80EB2">
      <w:r>
        <w:t>Zvolená varianta bude vyžadovat úpravy v té části informačního systému provozovatele zásobníku plynu, která je přímo navázána na alokaci skladovací kapacity. Přesné náklady nelze vyčíslit. Vzhledem k dlouhodobému zájmu provozovatelů zásobníků plynu rozšířit portfolio nabízených produktů souvisejících se skladováním</w:t>
      </w:r>
      <w:r w:rsidR="00214920">
        <w:t xml:space="preserve"> zvláště </w:t>
      </w:r>
      <w:r w:rsidR="0087640A">
        <w:t>o </w:t>
      </w:r>
      <w:r w:rsidR="00214920">
        <w:t>krátkodobé produkty,</w:t>
      </w:r>
      <w:r>
        <w:t xml:space="preserve"> lze předpokládat, že tyto úpravy budou z hlediska vynaložených nákladů odpovídající přínosů</w:t>
      </w:r>
      <w:r w:rsidR="0080479F">
        <w:t>m</w:t>
      </w:r>
      <w:r>
        <w:t xml:space="preserve"> pro trh s plynem v ČR </w:t>
      </w:r>
      <w:r w:rsidR="00BE2566">
        <w:t>a </w:t>
      </w:r>
      <w:r>
        <w:t>především pro provozovatele zásobníků plynu.</w:t>
      </w:r>
    </w:p>
    <w:p w:rsidR="0019440F" w:rsidRDefault="0019440F" w:rsidP="0019440F">
      <w:pPr>
        <w:pStyle w:val="Nadpis4-zvren"/>
      </w:pPr>
      <w:r>
        <w:t xml:space="preserve">Vyhodnocení nákladů </w:t>
      </w:r>
      <w:r w:rsidR="007E62B0">
        <w:t>a </w:t>
      </w:r>
      <w:r>
        <w:t>přínosů variant</w:t>
      </w:r>
    </w:p>
    <w:p w:rsidR="00842813" w:rsidRDefault="00842813" w:rsidP="00842813">
      <w:r>
        <w:t>[</w:t>
      </w:r>
      <w:r w:rsidR="0080479F">
        <w:t>Pro MPŘ a LRV bude doplněno</w:t>
      </w:r>
      <w:r>
        <w:t>]</w:t>
      </w:r>
    </w:p>
    <w:p w:rsidR="0019440F" w:rsidRDefault="0019440F" w:rsidP="0019440F">
      <w:pPr>
        <w:pStyle w:val="Nadpis4-zvren"/>
      </w:pPr>
      <w:r>
        <w:t>Návrh řešení</w:t>
      </w:r>
    </w:p>
    <w:p w:rsidR="0019440F" w:rsidRDefault="0019440F" w:rsidP="0019440F">
      <w:pPr>
        <w:pStyle w:val="Nadpis5-zvren"/>
      </w:pPr>
      <w:r>
        <w:t xml:space="preserve">Stanovení pořadí variant </w:t>
      </w:r>
      <w:r w:rsidR="007E62B0">
        <w:t>a </w:t>
      </w:r>
      <w:r>
        <w:t>výběr nejvhodnějšího řešení</w:t>
      </w:r>
    </w:p>
    <w:p w:rsidR="00C80EB2" w:rsidRDefault="00C80EB2" w:rsidP="00C80EB2">
      <w:r>
        <w:t>Zvažované varianty popsané v části 2.2.</w:t>
      </w:r>
      <w:r w:rsidR="00BE2566">
        <w:t>2 </w:t>
      </w:r>
      <w:r>
        <w:t>byly vyhodnoceny s tímto pořadím:</w:t>
      </w:r>
    </w:p>
    <w:p w:rsidR="00C80EB2" w:rsidRDefault="00C80EB2" w:rsidP="00C80EB2">
      <w:pPr>
        <w:pStyle w:val="Odstavecseseznamem"/>
        <w:numPr>
          <w:ilvl w:val="0"/>
          <w:numId w:val="8"/>
        </w:numPr>
      </w:pPr>
      <w:r>
        <w:t>Varianta II</w:t>
      </w:r>
    </w:p>
    <w:p w:rsidR="00C80EB2" w:rsidRDefault="00C80EB2" w:rsidP="00C80EB2">
      <w:pPr>
        <w:pStyle w:val="Odstavecseseznamem"/>
        <w:numPr>
          <w:ilvl w:val="0"/>
          <w:numId w:val="8"/>
        </w:numPr>
      </w:pPr>
      <w:r>
        <w:t>Varianta I</w:t>
      </w:r>
    </w:p>
    <w:p w:rsidR="00C80EB2" w:rsidRDefault="00C80EB2" w:rsidP="00C80EB2">
      <w:pPr>
        <w:pStyle w:val="Odstavecseseznamem"/>
        <w:numPr>
          <w:ilvl w:val="0"/>
          <w:numId w:val="8"/>
        </w:numPr>
      </w:pPr>
      <w:r>
        <w:t>Varianta III.</w:t>
      </w:r>
    </w:p>
    <w:p w:rsidR="00C80EB2" w:rsidRDefault="00C80EB2" w:rsidP="00C80EB2">
      <w:r>
        <w:t xml:space="preserve">Je však nezbytné uvést, že v případě varianty </w:t>
      </w:r>
      <w:r w:rsidR="00BE2566">
        <w:t>I </w:t>
      </w:r>
      <w:r>
        <w:t xml:space="preserve">se jedná </w:t>
      </w:r>
      <w:r w:rsidR="00BE2566">
        <w:t>o </w:t>
      </w:r>
      <w:r>
        <w:t>bazickou variantu, která je již součástí platné vyhlášky.</w:t>
      </w:r>
    </w:p>
    <w:p w:rsidR="00C80EB2" w:rsidRDefault="00C80EB2" w:rsidP="00C80EB2">
      <w:r>
        <w:t xml:space="preserve">S ohledem na zájem různých skupin účastníků trhu s plynem realizovat navržené změny byla jako prioritní zvolena varianta II. Tato varianta splňuje požadavky představené v rámci konzultačního procesu, nezakládá nerovnováhu mezi účastníky na trhu s plynem </w:t>
      </w:r>
      <w:r w:rsidR="00BE2566">
        <w:t>a </w:t>
      </w:r>
      <w:r>
        <w:t xml:space="preserve">je ve všech navržených procesech transparentní </w:t>
      </w:r>
      <w:r w:rsidR="00BE2566">
        <w:t>a </w:t>
      </w:r>
      <w:r>
        <w:t>nediskriminační.</w:t>
      </w:r>
    </w:p>
    <w:p w:rsidR="00C80EB2" w:rsidRDefault="00C80EB2" w:rsidP="00C80EB2">
      <w:r>
        <w:t>Podpora flexibilnějšího využití zásobníků plynu odpovídá záměrům, na jejichž základě došlo po roce 2009</w:t>
      </w:r>
      <w:r w:rsidR="001B196B">
        <w:t>,</w:t>
      </w:r>
      <w:r>
        <w:t xml:space="preserve"> díky výrazným dotačním titulům ze strany Evropské komise</w:t>
      </w:r>
      <w:r w:rsidR="001B196B">
        <w:t>,</w:t>
      </w:r>
      <w:r>
        <w:t xml:space="preserve"> k rozvoji skladovacích kapacit na území České republiky.</w:t>
      </w:r>
    </w:p>
    <w:p w:rsidR="00C80EB2" w:rsidRDefault="0019440F" w:rsidP="0019440F">
      <w:pPr>
        <w:pStyle w:val="Nadpis4-zvren"/>
      </w:pPr>
      <w:r>
        <w:t xml:space="preserve">Implementace doporučené varianty </w:t>
      </w:r>
      <w:r w:rsidR="007E62B0">
        <w:t>a </w:t>
      </w:r>
      <w:r>
        <w:t>vynucování</w:t>
      </w:r>
    </w:p>
    <w:p w:rsidR="00C80EB2" w:rsidRDefault="00C80EB2" w:rsidP="00C80EB2">
      <w:r w:rsidRPr="00C80EB2">
        <w:t xml:space="preserve">Na základě posouzení modelů trhu </w:t>
      </w:r>
      <w:r w:rsidR="00BE2566" w:rsidRPr="00C80EB2">
        <w:t>v</w:t>
      </w:r>
      <w:r w:rsidR="00BE2566">
        <w:t> </w:t>
      </w:r>
      <w:r w:rsidRPr="00C80EB2">
        <w:t xml:space="preserve">zemích, které jsou svojí charakteristikou nejpodobnější modelu trhu </w:t>
      </w:r>
      <w:r w:rsidR="00BE2566" w:rsidRPr="00C80EB2">
        <w:t>s</w:t>
      </w:r>
      <w:r w:rsidR="00BE2566">
        <w:t> </w:t>
      </w:r>
      <w:r w:rsidRPr="00C80EB2">
        <w:t xml:space="preserve">plynem </w:t>
      </w:r>
      <w:r w:rsidR="00BE2566" w:rsidRPr="00C80EB2">
        <w:t>v</w:t>
      </w:r>
      <w:r w:rsidR="00BE2566">
        <w:t> </w:t>
      </w:r>
      <w:r w:rsidRPr="00C80EB2">
        <w:t>České republice, byla vybrána pro úpravu vyhlášky varianta II.</w:t>
      </w:r>
      <w:r w:rsidR="00214920">
        <w:t xml:space="preserve"> Principy rezervace pomocí aukce s jednotnou cenou jsou využíván také při rezervaci krátkodobých přepravních kapacit.</w:t>
      </w:r>
    </w:p>
    <w:p w:rsidR="0019440F" w:rsidRDefault="0019440F" w:rsidP="0019440F">
      <w:pPr>
        <w:pStyle w:val="Nadpis4-zvren"/>
      </w:pPr>
      <w:r>
        <w:t>Přezkum účinnosti regulace</w:t>
      </w:r>
    </w:p>
    <w:p w:rsidR="00C80EB2" w:rsidRDefault="00C80EB2" w:rsidP="00C80EB2">
      <w:r w:rsidRPr="00C80EB2">
        <w:t xml:space="preserve">Energetický regulační úřad bude </w:t>
      </w:r>
      <w:r w:rsidR="00BE2566" w:rsidRPr="00C80EB2">
        <w:t>v</w:t>
      </w:r>
      <w:r w:rsidR="00BE2566">
        <w:t> </w:t>
      </w:r>
      <w:r w:rsidRPr="00C80EB2">
        <w:t xml:space="preserve">rámci výkonu své činnosti dané kompetencemi podle energetického zákona monitorovat dopad navržených opatření. </w:t>
      </w:r>
      <w:r w:rsidR="00BE2566" w:rsidRPr="00C80EB2">
        <w:t>V</w:t>
      </w:r>
      <w:r w:rsidR="00BE2566">
        <w:t> </w:t>
      </w:r>
      <w:r w:rsidRPr="00C80EB2">
        <w:t xml:space="preserve">případě požadavku na úpravu některého </w:t>
      </w:r>
      <w:r w:rsidR="00BE2566" w:rsidRPr="00C80EB2">
        <w:t>z</w:t>
      </w:r>
      <w:r w:rsidR="00BE2566">
        <w:t> </w:t>
      </w:r>
      <w:r w:rsidRPr="00C80EB2">
        <w:t xml:space="preserve">procesů je připraven </w:t>
      </w:r>
      <w:r w:rsidR="00BE2566" w:rsidRPr="00C80EB2">
        <w:t>v</w:t>
      </w:r>
      <w:r w:rsidR="00BE2566">
        <w:t> </w:t>
      </w:r>
      <w:r w:rsidRPr="00C80EB2">
        <w:t xml:space="preserve">rámci zmocnění na stanovení pravidel pro přístup </w:t>
      </w:r>
      <w:r w:rsidR="00BE2566" w:rsidRPr="00C80EB2">
        <w:t>k</w:t>
      </w:r>
      <w:r w:rsidR="00BE2566">
        <w:t> </w:t>
      </w:r>
      <w:r w:rsidRPr="00C80EB2">
        <w:t xml:space="preserve">zásobníkům plynu tyto procesy upravit tak, aby přispívaly </w:t>
      </w:r>
      <w:r w:rsidR="00BE2566" w:rsidRPr="00C80EB2">
        <w:t>k</w:t>
      </w:r>
      <w:r w:rsidR="00BE2566">
        <w:t> </w:t>
      </w:r>
      <w:r w:rsidRPr="00C80EB2">
        <w:t xml:space="preserve">rovnováze mezi požadavkem provozovatelů zásobníku plynu na maximalizaci výnosů </w:t>
      </w:r>
      <w:r w:rsidR="00BE2566" w:rsidRPr="00C80EB2">
        <w:t>a</w:t>
      </w:r>
      <w:r w:rsidR="00BE2566">
        <w:t> </w:t>
      </w:r>
      <w:r w:rsidRPr="00C80EB2">
        <w:t xml:space="preserve">požadavkem obchodníků </w:t>
      </w:r>
      <w:r w:rsidR="00BE2566" w:rsidRPr="00C80EB2">
        <w:t>s</w:t>
      </w:r>
      <w:r w:rsidR="00BE2566">
        <w:t> </w:t>
      </w:r>
      <w:r w:rsidRPr="00C80EB2">
        <w:t xml:space="preserve">plynem na maximalizaci efektivního využití skladovací kapacity. Zároveň by trh skladovací kapacitou </w:t>
      </w:r>
      <w:r w:rsidR="005508D2">
        <w:t xml:space="preserve">v ČR </w:t>
      </w:r>
      <w:r w:rsidRPr="00C80EB2">
        <w:t xml:space="preserve">měl být dostatečně atraktivní </w:t>
      </w:r>
      <w:r w:rsidR="00BE2566" w:rsidRPr="00C80EB2">
        <w:t>i</w:t>
      </w:r>
      <w:r w:rsidR="00BE2566">
        <w:t> </w:t>
      </w:r>
      <w:r w:rsidRPr="00C80EB2">
        <w:t xml:space="preserve">pro subjekty působící na trzích </w:t>
      </w:r>
      <w:r w:rsidR="00BE2566" w:rsidRPr="00C80EB2">
        <w:t>s</w:t>
      </w:r>
      <w:r w:rsidR="00BE2566">
        <w:t> </w:t>
      </w:r>
      <w:r w:rsidRPr="00C80EB2">
        <w:t xml:space="preserve">plynem </w:t>
      </w:r>
      <w:r w:rsidR="00BE2566" w:rsidRPr="00C80EB2">
        <w:t>v</w:t>
      </w:r>
      <w:r w:rsidR="00BE2566">
        <w:t> </w:t>
      </w:r>
      <w:r w:rsidRPr="00C80EB2">
        <w:t>sousedních zemích.</w:t>
      </w:r>
    </w:p>
    <w:p w:rsidR="00B67F17" w:rsidRDefault="0019440F" w:rsidP="0019440F">
      <w:pPr>
        <w:pStyle w:val="Nadpis4-zvren"/>
      </w:pPr>
      <w:r>
        <w:t xml:space="preserve">Konzultace </w:t>
      </w:r>
      <w:r w:rsidR="007E62B0">
        <w:t>a </w:t>
      </w:r>
      <w:r>
        <w:t>zdroje dat</w:t>
      </w:r>
    </w:p>
    <w:p w:rsidR="00C80EB2" w:rsidRDefault="00C80EB2" w:rsidP="00C80EB2">
      <w:pPr>
        <w:pStyle w:val="Odstavecseseznamem"/>
        <w:numPr>
          <w:ilvl w:val="0"/>
          <w:numId w:val="9"/>
        </w:numPr>
      </w:pPr>
      <w:r>
        <w:t>Veřejný konzultační proces k novele vyhlášky č. 349/2015 Sb.</w:t>
      </w:r>
    </w:p>
    <w:p w:rsidR="00C80EB2" w:rsidRDefault="00C80EB2" w:rsidP="00C80EB2">
      <w:pPr>
        <w:pStyle w:val="Odstavecseseznamem"/>
        <w:numPr>
          <w:ilvl w:val="0"/>
          <w:numId w:val="9"/>
        </w:numPr>
      </w:pPr>
      <w:r w:rsidRPr="00B67F17">
        <w:t xml:space="preserve">GSE presentation on varying storage obligations across Europe </w:t>
      </w:r>
      <w:r>
        <w:t xml:space="preserve"> (</w:t>
      </w:r>
      <w:hyperlink r:id="rId9" w:history="1">
        <w:r w:rsidRPr="0079076C">
          <w:rPr>
            <w:rStyle w:val="Hypertextovodkaz"/>
          </w:rPr>
          <w:t>http://www.ceer.eu/portal/page/portal/EER_HOME/EER_MEMBERS/Meetings/WG-FG/CGWG/GST_TF/Wshp_on_Gas_Storage_regulatory_vision/DD/GIE%2004%20presentation%20for%20CEER%20Workshop%2026022015%20-%20obligations%20of%20storage%20-%20v3.pptx</w:t>
        </w:r>
      </w:hyperlink>
      <w:r>
        <w:t>)</w:t>
      </w:r>
    </w:p>
    <w:p w:rsidR="00C80EB2" w:rsidRDefault="00C80EB2" w:rsidP="00C80EB2">
      <w:pPr>
        <w:pStyle w:val="Odstavecseseznamem"/>
        <w:numPr>
          <w:ilvl w:val="0"/>
          <w:numId w:val="9"/>
        </w:numPr>
      </w:pPr>
      <w:r w:rsidRPr="00B67F17">
        <w:t xml:space="preserve">GSE presentation on regulatory barriers identified by SSOs </w:t>
      </w:r>
      <w:r>
        <w:t>(</w:t>
      </w:r>
      <w:hyperlink r:id="rId10" w:history="1">
        <w:r w:rsidRPr="0079076C">
          <w:rPr>
            <w:rStyle w:val="Hypertextovodkaz"/>
          </w:rPr>
          <w:t>http://www.ceer.eu/portal/page/portal/EER_HOME/EER_MEMBERS/Meetings/WG-FG/CGWG/GST_TF/Wshp_on_Gas_Storage_regulatory_vision/DD/GIE%2002%20presentation%20for%20CEER%20Workshop%2026022015%20-%20Regulatory%20barriers%20-%20v3.ppt</w:t>
        </w:r>
      </w:hyperlink>
      <w:r>
        <w:t>)</w:t>
      </w:r>
    </w:p>
    <w:p w:rsidR="00C80EB2" w:rsidRDefault="00C80EB2" w:rsidP="00C80EB2">
      <w:pPr>
        <w:pStyle w:val="Odstavecseseznamem"/>
        <w:numPr>
          <w:ilvl w:val="0"/>
          <w:numId w:val="9"/>
        </w:numPr>
      </w:pPr>
      <w:r w:rsidRPr="00B67F17">
        <w:t xml:space="preserve">GSE presentation on storage operators innovations in products </w:t>
      </w:r>
      <w:r>
        <w:t>(</w:t>
      </w:r>
      <w:hyperlink r:id="rId11" w:history="1">
        <w:r w:rsidRPr="0079076C">
          <w:rPr>
            <w:rStyle w:val="Hypertextovodkaz"/>
          </w:rPr>
          <w:t>http://www.ceer.eu/portal/page/portal/EER_HOME/EER_MEMBERS/Meetings/WG-FG/CGWG/GST_TF/Wshp_on_Gas_Storage_regulatory_vision/DD/GIE%2001%20presentation%20for%20CEER%20Workshop%2026022015%20-%20innovation%20-%20v3.ppt</w:t>
        </w:r>
      </w:hyperlink>
      <w:r>
        <w:t>)</w:t>
      </w:r>
    </w:p>
    <w:p w:rsidR="00C80EB2" w:rsidRDefault="00C80EB2" w:rsidP="00C80EB2">
      <w:pPr>
        <w:pStyle w:val="Odstavecseseznamem"/>
        <w:numPr>
          <w:ilvl w:val="0"/>
          <w:numId w:val="9"/>
        </w:numPr>
      </w:pPr>
      <w:r>
        <w:t xml:space="preserve">Compiled responsed to SSO </w:t>
      </w:r>
      <w:r w:rsidRPr="00B67F17">
        <w:t>Questionnaire for CEER storage task force report on regulatory barriers for storage product innovation</w:t>
      </w:r>
      <w:r>
        <w:t xml:space="preserve"> (</w:t>
      </w:r>
      <w:hyperlink r:id="rId12" w:history="1">
        <w:r w:rsidRPr="0079076C">
          <w:rPr>
            <w:rStyle w:val="Hypertextovodkaz"/>
          </w:rPr>
          <w:t>http://www.ceer.eu/portal/page/portal/EER_HOME/EER_MEMBERS/Meetings/WG-FG/CGWG/GST_TF/25th_GST_TF/DD/CEER%20storage%20TF.%20January%202016%20SSO%20response.xlsx</w:t>
        </w:r>
      </w:hyperlink>
      <w:r>
        <w:t>)</w:t>
      </w:r>
    </w:p>
    <w:p w:rsidR="00017DCC" w:rsidRDefault="00C80EB2" w:rsidP="00C80EB2">
      <w:pPr>
        <w:pStyle w:val="Odstavecseseznamem"/>
        <w:numPr>
          <w:ilvl w:val="0"/>
          <w:numId w:val="9"/>
        </w:numPr>
      </w:pPr>
      <w:r>
        <w:t>Federal Act Providing New Rules for the Natural Gas Sector (Gaswirtschaftsgesetz [Natural Gas Act] 2011) (</w:t>
      </w:r>
      <w:hyperlink r:id="rId13" w:history="1">
        <w:r w:rsidRPr="0079076C">
          <w:rPr>
            <w:rStyle w:val="Hypertextovodkaz"/>
          </w:rPr>
          <w:t>https://www.e-control.at/documents/20903/-/-/22a8972f-c195-466b-b97f-746e72ebd4b1</w:t>
        </w:r>
      </w:hyperlink>
      <w:r>
        <w:t xml:space="preserve">) </w:t>
      </w:r>
      <w:r w:rsidR="00017DCC">
        <w:t xml:space="preserve"> </w:t>
      </w:r>
    </w:p>
    <w:p w:rsidR="002D20F7" w:rsidRDefault="002D20F7" w:rsidP="00B67F17">
      <w:r>
        <w:br w:type="page"/>
      </w:r>
    </w:p>
    <w:p w:rsidR="006876F9" w:rsidRPr="009C36AA" w:rsidRDefault="00BF3981" w:rsidP="006876F9">
      <w:pPr>
        <w:pStyle w:val="IDPROBLEM"/>
      </w:pPr>
      <w:r>
        <w:t>Úprava možností přidělování skladovacích kapacit v rámci stávajícího</w:t>
      </w:r>
      <w:r w:rsidR="006876F9" w:rsidRPr="009C36AA">
        <w:t xml:space="preserve"> </w:t>
      </w:r>
      <w:r w:rsidR="006876F9">
        <w:t xml:space="preserve">aukčního </w:t>
      </w:r>
      <w:r w:rsidR="006876F9" w:rsidRPr="009C36AA">
        <w:t>mechanismu pro přidělování skladovací</w:t>
      </w:r>
      <w:r w:rsidR="006876F9">
        <w:t>ch</w:t>
      </w:r>
      <w:r w:rsidR="006876F9" w:rsidRPr="009C36AA">
        <w:t xml:space="preserve"> kapacit</w:t>
      </w:r>
    </w:p>
    <w:p w:rsidR="006876F9" w:rsidRDefault="006876F9" w:rsidP="006876F9">
      <w:pPr>
        <w:pStyle w:val="Nadpis4-zvren"/>
      </w:pPr>
      <w:r>
        <w:t>Identifikace problému</w:t>
      </w:r>
    </w:p>
    <w:p w:rsidR="00131B25" w:rsidRPr="00131B25" w:rsidRDefault="00131B25" w:rsidP="00131B25">
      <w:r w:rsidRPr="00131B25">
        <w:t xml:space="preserve">Vyhláška </w:t>
      </w:r>
      <w:r w:rsidR="00BE2566" w:rsidRPr="00131B25">
        <w:t>o</w:t>
      </w:r>
      <w:r w:rsidR="00BE2566">
        <w:t> </w:t>
      </w:r>
      <w:r w:rsidRPr="00131B25">
        <w:t xml:space="preserve">Pravidlech trhu </w:t>
      </w:r>
      <w:r w:rsidR="00BE2566" w:rsidRPr="00131B25">
        <w:t>s</w:t>
      </w:r>
      <w:r w:rsidR="00BE2566">
        <w:t> </w:t>
      </w:r>
      <w:r w:rsidRPr="00131B25">
        <w:t xml:space="preserve">plynem ve znění vyhlášky č. 349/2015 Sb. upravuje postup </w:t>
      </w:r>
      <w:r w:rsidR="00BE2566" w:rsidRPr="00131B25">
        <w:t>a</w:t>
      </w:r>
      <w:r w:rsidR="00BE2566">
        <w:t> </w:t>
      </w:r>
      <w:r w:rsidRPr="00131B25">
        <w:t xml:space="preserve">termíny při rezervaci skladovací kapacity formou aukce na principu anglické aukce </w:t>
      </w:r>
      <w:r w:rsidR="00BE2566" w:rsidRPr="00131B25">
        <w:t>s</w:t>
      </w:r>
      <w:r w:rsidR="00BE2566">
        <w:t> </w:t>
      </w:r>
      <w:r w:rsidRPr="00131B25">
        <w:t xml:space="preserve">výjimkou rezervace denní skladovací kapacity. </w:t>
      </w:r>
      <w:r w:rsidR="00BE2566" w:rsidRPr="00131B25">
        <w:t>V</w:t>
      </w:r>
      <w:r w:rsidR="00BE2566">
        <w:t> </w:t>
      </w:r>
      <w:r w:rsidRPr="00131B25">
        <w:t xml:space="preserve">rámci aukčního mechanismu si počátek </w:t>
      </w:r>
      <w:r w:rsidR="00BE2566" w:rsidRPr="00131B25">
        <w:t>a</w:t>
      </w:r>
      <w:r w:rsidR="00BE2566">
        <w:t> </w:t>
      </w:r>
      <w:r w:rsidRPr="00131B25">
        <w:t xml:space="preserve">konec </w:t>
      </w:r>
      <w:r w:rsidR="00A35E1F">
        <w:t>doby</w:t>
      </w:r>
      <w:r w:rsidR="00A35E1F" w:rsidRPr="00131B25">
        <w:t xml:space="preserve"> </w:t>
      </w:r>
      <w:r w:rsidRPr="00131B25">
        <w:t xml:space="preserve">rezervace skladovací kapacity volí provozovatel zásobníku plynu </w:t>
      </w:r>
      <w:r w:rsidR="00BE2566" w:rsidRPr="00131B25">
        <w:t>s</w:t>
      </w:r>
      <w:r w:rsidR="00BE2566">
        <w:t> </w:t>
      </w:r>
      <w:r w:rsidRPr="00131B25">
        <w:t>tím, že žadatel, kterým je subjekt zúčtování nebo zahraniční účastník</w:t>
      </w:r>
      <w:r w:rsidR="00A35E1F">
        <w:t xml:space="preserve"> </w:t>
      </w:r>
      <w:r w:rsidR="0087640A">
        <w:t>a </w:t>
      </w:r>
      <w:r w:rsidRPr="00131B25">
        <w:t xml:space="preserve">účastní </w:t>
      </w:r>
      <w:r w:rsidR="00A35E1F">
        <w:t xml:space="preserve">se </w:t>
      </w:r>
      <w:r w:rsidRPr="00131B25">
        <w:t>aukce</w:t>
      </w:r>
      <w:r w:rsidR="00A35E1F">
        <w:t xml:space="preserve"> na skladovací kapacitu</w:t>
      </w:r>
      <w:r w:rsidRPr="00131B25">
        <w:t xml:space="preserve">, si může zvolit dobu trvání skladovací kapacity – </w:t>
      </w:r>
      <w:r w:rsidR="00BE2566" w:rsidRPr="00131B25">
        <w:t>u</w:t>
      </w:r>
      <w:r w:rsidR="00BE2566">
        <w:t> </w:t>
      </w:r>
      <w:r w:rsidRPr="00131B25">
        <w:t xml:space="preserve">roční kapacity počet let platnosti rezervace, </w:t>
      </w:r>
      <w:r w:rsidR="00BE2566" w:rsidRPr="00131B25">
        <w:t>u</w:t>
      </w:r>
      <w:r w:rsidR="00BE2566">
        <w:t> </w:t>
      </w:r>
      <w:r w:rsidRPr="00131B25">
        <w:t xml:space="preserve">měsíční rezervace skladovací kapacity počet měsíců skladovací kapacity. Paralelně </w:t>
      </w:r>
      <w:r w:rsidR="00BE2566" w:rsidRPr="00131B25">
        <w:t>s</w:t>
      </w:r>
      <w:r w:rsidR="00BE2566">
        <w:t> </w:t>
      </w:r>
      <w:r w:rsidRPr="00131B25">
        <w:t>předcházejícím problémem</w:t>
      </w:r>
      <w:r w:rsidR="00A35E1F">
        <w:t xml:space="preserve"> (ne)volitelnosti doby trvání rezervace skladovací kapacity,</w:t>
      </w:r>
      <w:r w:rsidRPr="00131B25">
        <w:t xml:space="preserve"> byl účastníky trhu </w:t>
      </w:r>
      <w:r w:rsidR="00BE2566" w:rsidRPr="00131B25">
        <w:t>s</w:t>
      </w:r>
      <w:r w:rsidR="00BE2566">
        <w:t> </w:t>
      </w:r>
      <w:r w:rsidRPr="00131B25">
        <w:t xml:space="preserve">plynem identifikován problém </w:t>
      </w:r>
      <w:r w:rsidR="00BE2566" w:rsidRPr="00131B25">
        <w:t>s</w:t>
      </w:r>
      <w:r w:rsidR="00BE2566">
        <w:t> </w:t>
      </w:r>
      <w:r w:rsidRPr="00131B25">
        <w:t xml:space="preserve">omezenou možností těžby resp. vtláčení plynu mimo těžební nebo vtláčecí období definované </w:t>
      </w:r>
      <w:r w:rsidR="00BE2566" w:rsidRPr="00131B25">
        <w:t>v</w:t>
      </w:r>
      <w:r w:rsidR="00BE2566">
        <w:t> </w:t>
      </w:r>
      <w:r w:rsidRPr="00131B25">
        <w:t xml:space="preserve">řádu provozovatele zásobníku. Tyto skutečnosti se vzájemně prolínají </w:t>
      </w:r>
      <w:r w:rsidR="00BE2566" w:rsidRPr="00131B25">
        <w:t>a</w:t>
      </w:r>
      <w:r w:rsidR="00BE2566">
        <w:t> </w:t>
      </w:r>
      <w:r w:rsidRPr="00131B25">
        <w:t xml:space="preserve">dochází </w:t>
      </w:r>
      <w:r w:rsidR="00BE2566" w:rsidRPr="00131B25">
        <w:t>k</w:t>
      </w:r>
      <w:r w:rsidR="00BE2566">
        <w:t> </w:t>
      </w:r>
      <w:r w:rsidRPr="00131B25">
        <w:t>následujícím problémům:</w:t>
      </w:r>
    </w:p>
    <w:p w:rsidR="00131B25" w:rsidRPr="00131B25" w:rsidRDefault="00131B25" w:rsidP="00131B25">
      <w:pPr>
        <w:pStyle w:val="Odstavecseseznamem"/>
        <w:numPr>
          <w:ilvl w:val="0"/>
          <w:numId w:val="12"/>
        </w:numPr>
      </w:pPr>
      <w:r w:rsidRPr="00131B25">
        <w:t xml:space="preserve">Měsíční rezervací skladovací kapacity, kdy si může žadatel zvolit počet měsíců platnosti rezervace, se může dostat provozovatel zásobníku plynu do neřešitelné situace, od kterého data nabízet roční skladovací kapacitu, když je mu při měsíčních aukcích rezervována pouze </w:t>
      </w:r>
      <w:r w:rsidR="00BE2566" w:rsidRPr="00131B25">
        <w:t>v</w:t>
      </w:r>
      <w:r w:rsidR="00BE2566">
        <w:t> </w:t>
      </w:r>
      <w:r w:rsidRPr="00131B25">
        <w:t>některých měsících.</w:t>
      </w:r>
    </w:p>
    <w:p w:rsidR="00131B25" w:rsidRPr="00131B25" w:rsidRDefault="00131B25" w:rsidP="00131B25">
      <w:pPr>
        <w:pStyle w:val="Odstavecseseznamem"/>
        <w:numPr>
          <w:ilvl w:val="0"/>
          <w:numId w:val="12"/>
        </w:numPr>
      </w:pPr>
      <w:r w:rsidRPr="00131B25">
        <w:t xml:space="preserve">Existencí těžebního období </w:t>
      </w:r>
      <w:r w:rsidR="00BE2566" w:rsidRPr="00131B25">
        <w:t>a</w:t>
      </w:r>
      <w:r w:rsidR="00BE2566">
        <w:t> </w:t>
      </w:r>
      <w:r w:rsidRPr="00131B25">
        <w:t xml:space="preserve">vtláčecího období, ve kterých jsou zaručené těžební </w:t>
      </w:r>
      <w:r w:rsidR="00BE2566" w:rsidRPr="00131B25">
        <w:t>a</w:t>
      </w:r>
      <w:r w:rsidR="00BE2566">
        <w:t> </w:t>
      </w:r>
      <w:r w:rsidRPr="00131B25">
        <w:t xml:space="preserve">vtláčecí křivky pro subjekty zúčtování </w:t>
      </w:r>
      <w:r w:rsidR="00BE2566" w:rsidRPr="00131B25">
        <w:t>a</w:t>
      </w:r>
      <w:r w:rsidR="00BE2566">
        <w:t> </w:t>
      </w:r>
      <w:r w:rsidRPr="00131B25">
        <w:t xml:space="preserve">zahraniční účastníky, kteří mají rezervovánu skladovací kapacitu, postrádá existence ročních rezervací skladovacích kapacit </w:t>
      </w:r>
      <w:r w:rsidR="00BE2566" w:rsidRPr="00131B25">
        <w:t>v</w:t>
      </w:r>
      <w:r w:rsidR="00BE2566">
        <w:t> </w:t>
      </w:r>
      <w:r w:rsidRPr="00131B25">
        <w:t>termínech odlišných od skladovacího roku smysl, neboť je není možné efektivně využít.</w:t>
      </w:r>
    </w:p>
    <w:p w:rsidR="00131B25" w:rsidRPr="00131B25" w:rsidRDefault="00BE2566" w:rsidP="00131B25">
      <w:pPr>
        <w:pStyle w:val="Odstavecseseznamem"/>
        <w:numPr>
          <w:ilvl w:val="0"/>
          <w:numId w:val="12"/>
        </w:numPr>
      </w:pPr>
      <w:r w:rsidRPr="00131B25">
        <w:t>U</w:t>
      </w:r>
      <w:r>
        <w:t> </w:t>
      </w:r>
      <w:r w:rsidR="00131B25" w:rsidRPr="00131B25">
        <w:t xml:space="preserve">víceletých rezervací skladovacích kapacit dochází </w:t>
      </w:r>
      <w:r w:rsidRPr="00131B25">
        <w:t>k</w:t>
      </w:r>
      <w:r>
        <w:t> </w:t>
      </w:r>
      <w:r w:rsidR="00131B25" w:rsidRPr="00131B25">
        <w:t xml:space="preserve">situaci, že pro konkrétní rok rezervace skladovací kapacity jsou na stejnou úroveň položeny rezervace skladovací kapacity na jeden rok </w:t>
      </w:r>
      <w:r w:rsidRPr="00131B25">
        <w:t>i</w:t>
      </w:r>
      <w:r>
        <w:t> </w:t>
      </w:r>
      <w:r w:rsidR="00131B25" w:rsidRPr="00131B25">
        <w:t>na více let</w:t>
      </w:r>
    </w:p>
    <w:p w:rsidR="00131B25" w:rsidRDefault="00BE2566" w:rsidP="00131B25">
      <w:pPr>
        <w:pStyle w:val="Odstavecseseznamem"/>
        <w:numPr>
          <w:ilvl w:val="0"/>
          <w:numId w:val="12"/>
        </w:numPr>
      </w:pPr>
      <w:r w:rsidRPr="00131B25">
        <w:t>V</w:t>
      </w:r>
      <w:r>
        <w:t> </w:t>
      </w:r>
      <w:r w:rsidR="00131B25" w:rsidRPr="00131B25">
        <w:t xml:space="preserve">pravidlech trhu </w:t>
      </w:r>
      <w:r w:rsidRPr="00131B25">
        <w:t>s</w:t>
      </w:r>
      <w:r>
        <w:t> </w:t>
      </w:r>
      <w:r w:rsidR="00131B25" w:rsidRPr="00131B25">
        <w:t>plynem je nastaveno omezení, pro vertikálně integrovaného plynárenského podnikatele, který má více než 80</w:t>
      </w:r>
      <w:r w:rsidR="005508D2">
        <w:t xml:space="preserve"> </w:t>
      </w:r>
      <w:r w:rsidR="00131B25" w:rsidRPr="00131B25">
        <w:t xml:space="preserve">% rezervované skladovací kapacity. To může být platné pouze pro jeden ze skladovacích roků, na který je skladovací kapacita </w:t>
      </w:r>
      <w:r w:rsidRPr="00131B25">
        <w:t>v</w:t>
      </w:r>
      <w:r>
        <w:t> </w:t>
      </w:r>
      <w:r w:rsidR="00131B25" w:rsidRPr="00131B25">
        <w:t xml:space="preserve">aukci nabízena, ale přesto je takto </w:t>
      </w:r>
      <w:r w:rsidR="004F1E0E">
        <w:t>vertikálně integrovaný plynárenský podnikatel</w:t>
      </w:r>
      <w:r w:rsidR="00131B25" w:rsidRPr="00131B25">
        <w:t xml:space="preserve"> omezen</w:t>
      </w:r>
      <w:r w:rsidR="004F1E0E">
        <w:t xml:space="preserve"> pro celou aukci</w:t>
      </w:r>
      <w:r w:rsidR="00131B25" w:rsidRPr="00131B25">
        <w:t>.</w:t>
      </w:r>
    </w:p>
    <w:p w:rsidR="006876F9" w:rsidRDefault="006876F9" w:rsidP="006876F9">
      <w:pPr>
        <w:pStyle w:val="Nadpis4-zvren"/>
      </w:pPr>
      <w:r>
        <w:t>Návrh variant řešení</w:t>
      </w:r>
    </w:p>
    <w:p w:rsidR="006876F9" w:rsidRDefault="006876F9" w:rsidP="006876F9">
      <w:pPr>
        <w:pStyle w:val="Varianty"/>
      </w:pPr>
      <w:r w:rsidRPr="00500755">
        <w:t>Varianta I</w:t>
      </w:r>
    </w:p>
    <w:p w:rsidR="00131B25" w:rsidRDefault="00131B25" w:rsidP="00687844">
      <w:r>
        <w:t xml:space="preserve">Ponechání volnosti jak na straně provozovatele zásobníku od kdy se skladovací kapacita nabízí, bez navázání na skladovací rok, </w:t>
      </w:r>
      <w:r w:rsidR="00F22AFB">
        <w:t xml:space="preserve">tak </w:t>
      </w:r>
      <w:r w:rsidR="00BE2566">
        <w:t>i </w:t>
      </w:r>
      <w:r>
        <w:t xml:space="preserve">na straně subjektů zúčtování </w:t>
      </w:r>
      <w:r w:rsidR="00BE2566">
        <w:t>a </w:t>
      </w:r>
      <w:r>
        <w:t xml:space="preserve">zahraničních účastníků, na jak dlouho si skladovací kapacitu rezervují. Současně budou v pravidlech trhu s plynem definovány těžební </w:t>
      </w:r>
      <w:r w:rsidR="00BE2566">
        <w:t>a </w:t>
      </w:r>
      <w:r>
        <w:t xml:space="preserve">vtláčecí období </w:t>
      </w:r>
      <w:r w:rsidR="00BE2566">
        <w:t>a </w:t>
      </w:r>
      <w:r>
        <w:t xml:space="preserve">také postupy, za jakých okolností bude provozovatel zásobníku povinen dodržet parametry vtláčení </w:t>
      </w:r>
      <w:r w:rsidR="00BE2566">
        <w:t>a </w:t>
      </w:r>
      <w:r>
        <w:t xml:space="preserve">těžby </w:t>
      </w:r>
      <w:r w:rsidR="00BE2566">
        <w:t>a </w:t>
      </w:r>
      <w:r>
        <w:t>to zvláště pokud nabízí roční skladovací kapacitu</w:t>
      </w:r>
      <w:r w:rsidR="005508D2">
        <w:t xml:space="preserve"> v</w:t>
      </w:r>
      <w:r>
        <w:t xml:space="preserve"> </w:t>
      </w:r>
      <w:r w:rsidR="005508D2">
        <w:t xml:space="preserve">jiném </w:t>
      </w:r>
      <w:r>
        <w:t>časovém rozložení</w:t>
      </w:r>
      <w:r w:rsidR="005508D2">
        <w:t>,</w:t>
      </w:r>
      <w:r>
        <w:t xml:space="preserve"> než by odpovídalo skladovacímu roku</w:t>
      </w:r>
      <w:r w:rsidR="0087640A">
        <w:t>,</w:t>
      </w:r>
      <w:r>
        <w:t xml:space="preserve"> definovaném v pravidlech trhu s plynem.</w:t>
      </w:r>
    </w:p>
    <w:p w:rsidR="00131B25" w:rsidRPr="00500755" w:rsidRDefault="00131B25" w:rsidP="00687844">
      <w:r>
        <w:t>Doporučit provozovatelům zásobníků</w:t>
      </w:r>
      <w:r w:rsidR="00641FE5">
        <w:t xml:space="preserve"> v rámci vertikálně integrovaného plynárenského podnikatele</w:t>
      </w:r>
      <w:r>
        <w:t xml:space="preserve">, </w:t>
      </w:r>
      <w:r w:rsidR="00424E9C">
        <w:t>pokud</w:t>
      </w:r>
      <w:r w:rsidR="00641FE5">
        <w:t xml:space="preserve"> </w:t>
      </w:r>
      <w:r>
        <w:t xml:space="preserve">v určitých letech období, na které je skladovací kapacita v aukci nabízena, </w:t>
      </w:r>
      <w:r w:rsidR="00424E9C">
        <w:t xml:space="preserve">na něj </w:t>
      </w:r>
      <w:r w:rsidR="00641FE5">
        <w:t xml:space="preserve">dopadá omezení vlivem rezervace více než 80 % skladovací kapacity vertikálně integrovaným plynárenským podnikatelem, </w:t>
      </w:r>
      <w:r>
        <w:t xml:space="preserve">aby </w:t>
      </w:r>
      <w:r w:rsidR="00641FE5">
        <w:t xml:space="preserve">pořádali </w:t>
      </w:r>
      <w:r>
        <w:t xml:space="preserve">aukci zvlášť pro období, kdy </w:t>
      </w:r>
      <w:r w:rsidR="00641FE5">
        <w:t>vertikálně integrovaný plynárenský podnikatel má rezervováno</w:t>
      </w:r>
      <w:r>
        <w:t xml:space="preserve"> více než 80</w:t>
      </w:r>
      <w:r w:rsidR="005508D2">
        <w:t xml:space="preserve"> </w:t>
      </w:r>
      <w:r>
        <w:t xml:space="preserve">% skladovací kapacity </w:t>
      </w:r>
      <w:r w:rsidR="00BE2566">
        <w:t>a </w:t>
      </w:r>
      <w:r>
        <w:t xml:space="preserve">na období, kdy toto </w:t>
      </w:r>
      <w:r w:rsidR="00641FE5">
        <w:t>není splněno</w:t>
      </w:r>
      <w:r>
        <w:t>.</w:t>
      </w:r>
    </w:p>
    <w:p w:rsidR="006876F9" w:rsidRDefault="006876F9" w:rsidP="006876F9">
      <w:pPr>
        <w:pStyle w:val="Varianty"/>
      </w:pPr>
      <w:r>
        <w:t>Varianta II</w:t>
      </w:r>
    </w:p>
    <w:p w:rsidR="00131B25" w:rsidRDefault="00131B25" w:rsidP="00131B25">
      <w:r>
        <w:t xml:space="preserve">Zavedení rezervace roční skladovací kapacity pouze na období skladovacího roku. Paralelní průběh aukcí pro jednotlivé skladovací roky. </w:t>
      </w:r>
      <w:r w:rsidR="00BE2566">
        <w:t>U </w:t>
      </w:r>
      <w:r>
        <w:t>měsíčních</w:t>
      </w:r>
      <w:r w:rsidR="00016A8A">
        <w:t xml:space="preserve"> </w:t>
      </w:r>
      <w:r>
        <w:t xml:space="preserve">(krátkodobých) rezervací skladovací kapacity </w:t>
      </w:r>
      <w:r w:rsidR="00C04E40">
        <w:t xml:space="preserve">bude plně v kompetenci </w:t>
      </w:r>
      <w:r>
        <w:t xml:space="preserve">provozovatel zásobníku, </w:t>
      </w:r>
      <w:r w:rsidR="00C04E40">
        <w:t>aby stanovil</w:t>
      </w:r>
      <w:r>
        <w:t xml:space="preserve">, na které měsíce skladovací kapacitu nabídne. Zvýšit počet let do budoucnosti, na který může provozovatel zásobníku skladovací kapacitu nabídnout až na 15 let s tím, že určité minimální objemy budou nabízeny v období blízko ke skutečnému skladování plynu </w:t>
      </w:r>
      <w:r w:rsidR="00BE2566">
        <w:t>a </w:t>
      </w:r>
      <w:r>
        <w:t>to v úrovni alespoň 5</w:t>
      </w:r>
      <w:r w:rsidR="00C43944">
        <w:t xml:space="preserve"> </w:t>
      </w:r>
      <w:r>
        <w:t xml:space="preserve">% jeden rok dopředu </w:t>
      </w:r>
      <w:r w:rsidR="00BE2566">
        <w:t>a </w:t>
      </w:r>
      <w:r>
        <w:t>alespoň 10</w:t>
      </w:r>
      <w:r w:rsidR="00C43944">
        <w:t xml:space="preserve"> </w:t>
      </w:r>
      <w:r>
        <w:t xml:space="preserve">% pět let dopředu. V dnes platném znění pravidel trhu s plynem smí provozovatel zásobníku nabízet skladovací kapacitu na nejvýše </w:t>
      </w:r>
      <w:r w:rsidR="00BE2566">
        <w:t>5 </w:t>
      </w:r>
      <w:r>
        <w:t>let, ale počet let skladování si může žadatel vybrat až v </w:t>
      </w:r>
      <w:r w:rsidR="0052386D">
        <w:t xml:space="preserve">aukčním </w:t>
      </w:r>
      <w:r>
        <w:t>kole.</w:t>
      </w:r>
    </w:p>
    <w:p w:rsidR="00131B25" w:rsidRDefault="001522DD" w:rsidP="00131B25">
      <w:r>
        <w:t>Ukotvení</w:t>
      </w:r>
      <w:r w:rsidR="00131B25">
        <w:t xml:space="preserve"> základní</w:t>
      </w:r>
      <w:r>
        <w:t>ch</w:t>
      </w:r>
      <w:r w:rsidR="00131B25">
        <w:t xml:space="preserve"> termín</w:t>
      </w:r>
      <w:r>
        <w:t>ů</w:t>
      </w:r>
      <w:r w:rsidR="00131B25">
        <w:t xml:space="preserve"> těžebního </w:t>
      </w:r>
      <w:r w:rsidR="00BE2566">
        <w:t>a </w:t>
      </w:r>
      <w:r w:rsidR="00131B25">
        <w:t xml:space="preserve">vtláčecího období </w:t>
      </w:r>
      <w:r w:rsidR="00BE2566">
        <w:t>a </w:t>
      </w:r>
      <w:r w:rsidR="00131B25">
        <w:t>současně defin</w:t>
      </w:r>
      <w:r>
        <w:t>ování</w:t>
      </w:r>
      <w:r w:rsidR="00131B25">
        <w:t xml:space="preserve"> období měsíc před </w:t>
      </w:r>
      <w:r w:rsidR="00BE2566">
        <w:t>a </w:t>
      </w:r>
      <w:r w:rsidR="00131B25">
        <w:t>po skončení těžebního resp. vtláčecího období, kdy při splnění určitých podmínek uživatelem zásobníku bude zajištěna těžební respektive vtláčecí kapacita podle těžební respektive vtláčecí křivky.</w:t>
      </w:r>
    </w:p>
    <w:p w:rsidR="006876F9" w:rsidRDefault="006876F9" w:rsidP="006876F9">
      <w:pPr>
        <w:pStyle w:val="Nadpis4-zvren"/>
      </w:pPr>
      <w:r>
        <w:t>Vyhodnocení nákladů a přínosů</w:t>
      </w:r>
    </w:p>
    <w:p w:rsidR="00131B25" w:rsidRDefault="00131B25" w:rsidP="00131B25">
      <w:r>
        <w:t xml:space="preserve">Jedním ze zásadních úkolů </w:t>
      </w:r>
      <w:r w:rsidR="00573ABF">
        <w:t xml:space="preserve">změny v pravidlech trhu s plynem je vyřešení </w:t>
      </w:r>
      <w:r>
        <w:t>komplexní</w:t>
      </w:r>
      <w:r w:rsidR="00573ABF">
        <w:t>ho</w:t>
      </w:r>
      <w:r>
        <w:t xml:space="preserve"> problém</w:t>
      </w:r>
      <w:r w:rsidR="00573ABF">
        <w:t>u</w:t>
      </w:r>
      <w:r>
        <w:t xml:space="preserve"> nabízení ročních </w:t>
      </w:r>
      <w:r w:rsidR="00BE2566">
        <w:t>a </w:t>
      </w:r>
      <w:r>
        <w:t xml:space="preserve">měsíčních skladovacích kapacit, které nabízejí smluvní volnost začátku </w:t>
      </w:r>
      <w:r w:rsidR="00BE2566">
        <w:t>a </w:t>
      </w:r>
      <w:r>
        <w:t xml:space="preserve">konce rezervace skladovací kapacity za současného vyřešení problému omezení dostupnosti těžebního </w:t>
      </w:r>
      <w:r w:rsidR="00BE2566">
        <w:t>a </w:t>
      </w:r>
      <w:r>
        <w:t xml:space="preserve">vtláčecího výkonu v určitém období roku vlivem těžebního </w:t>
      </w:r>
      <w:r w:rsidR="00BE2566">
        <w:t>a </w:t>
      </w:r>
      <w:r>
        <w:t>vtláčecího období, po které je těžební respektive vtláčecí výkon provozovatelem zásobníku zaručen.</w:t>
      </w:r>
    </w:p>
    <w:p w:rsidR="00131B25" w:rsidRDefault="00131B25" w:rsidP="00131B25">
      <w:r>
        <w:t xml:space="preserve">K tomu lze přistoupit buď zrušením těžebního </w:t>
      </w:r>
      <w:r w:rsidR="00BE2566">
        <w:t>a </w:t>
      </w:r>
      <w:r>
        <w:t xml:space="preserve">vtláčecího období, případně jeho výraznou úpravou v pravidlech trhu s plynem, což ponese náklady na technologie na straně provozovatelů zásobníků, ale současně zachová dnešní smluvní volnost počátku </w:t>
      </w:r>
      <w:r w:rsidR="00BE2566">
        <w:t>a </w:t>
      </w:r>
      <w:r>
        <w:t xml:space="preserve">konce rezervace skladovací kapacity, anebo omezením smluvní volnosti počátku </w:t>
      </w:r>
      <w:r w:rsidR="00BE2566">
        <w:t>a </w:t>
      </w:r>
      <w:r>
        <w:t>konce skladovací kapacity s důsledným využíváním rezervace skladovací kapacity v intervalu skladovacího roku, což by si nevyžádalo žádné anebo jen minimální náklady</w:t>
      </w:r>
      <w:r w:rsidR="00573ABF">
        <w:t xml:space="preserve">, ale částečně snížilo smluvní volnost účastníků trhu </w:t>
      </w:r>
      <w:r w:rsidR="0087640A">
        <w:t>s </w:t>
      </w:r>
      <w:r w:rsidR="00573ABF">
        <w:t>plynem</w:t>
      </w:r>
      <w:r>
        <w:t xml:space="preserve">. </w:t>
      </w:r>
    </w:p>
    <w:p w:rsidR="006876F9" w:rsidRDefault="006876F9" w:rsidP="006876F9">
      <w:pPr>
        <w:pStyle w:val="Nadpis4-zvren"/>
      </w:pPr>
      <w:r>
        <w:t>Vyhodnocení nákladů a přínosů variant</w:t>
      </w:r>
    </w:p>
    <w:p w:rsidR="00131B25" w:rsidRDefault="00BE2566" w:rsidP="00131B25">
      <w:r>
        <w:t>U </w:t>
      </w:r>
      <w:r w:rsidR="00131B25">
        <w:t xml:space="preserve">Varianty </w:t>
      </w:r>
      <w:r>
        <w:t>I </w:t>
      </w:r>
      <w:r w:rsidR="00131B25">
        <w:t xml:space="preserve">nedojde k žádným nákladům na IT infrastruktuře. Nově budou v pravidlech trhu definována těžební </w:t>
      </w:r>
      <w:r>
        <w:t>a </w:t>
      </w:r>
      <w:r w:rsidR="00131B25">
        <w:t xml:space="preserve">vtláčecí období </w:t>
      </w:r>
      <w:r>
        <w:t>a </w:t>
      </w:r>
      <w:r w:rsidR="00131B25">
        <w:t xml:space="preserve">budou definovány podmínky, za kterých bude těžební respektive vtláčecí výkon dostupný </w:t>
      </w:r>
      <w:r>
        <w:t>i </w:t>
      </w:r>
      <w:r w:rsidR="00131B25">
        <w:t xml:space="preserve">mimo těžební </w:t>
      </w:r>
      <w:r>
        <w:t>a </w:t>
      </w:r>
      <w:r w:rsidR="00131B25">
        <w:t xml:space="preserve">vtláčecí období - to pravděpodobně </w:t>
      </w:r>
      <w:r w:rsidR="008D3CED">
        <w:t xml:space="preserve">významné </w:t>
      </w:r>
      <w:r w:rsidR="00131B25">
        <w:t xml:space="preserve">dodatečné náklady </w:t>
      </w:r>
      <w:r>
        <w:t>u </w:t>
      </w:r>
      <w:r w:rsidR="00131B25">
        <w:t xml:space="preserve">provozovatele zásobníku </w:t>
      </w:r>
      <w:r w:rsidR="0030588A">
        <w:t xml:space="preserve">na technologickém vybavení zásobníku plynu </w:t>
      </w:r>
      <w:r w:rsidR="00131B25">
        <w:t xml:space="preserve">vyvolá. V současnosti však při aukcích roční skladovací kapacity, která nekoresponduje se skladovacím rokem, dochází k situaci, kdy je taková skladovací kapacita držitelem v některých obdobích obtížně využitelná, protože ačkoliv provozovatel zásobníku nabízí skladovací kapacitu mimo skladovací rok, tak těžební </w:t>
      </w:r>
      <w:r>
        <w:t>a </w:t>
      </w:r>
      <w:r w:rsidR="00131B25">
        <w:t xml:space="preserve">vtláčecí období koreluje s rozložením vtláčení </w:t>
      </w:r>
      <w:r>
        <w:t>a </w:t>
      </w:r>
      <w:r w:rsidR="00131B25">
        <w:t xml:space="preserve">těžby podle skladovacího roku. Proto bude nutné při zachování volnosti termínu nabízení roční skladovací kapacity omezit případné krácení těžebního </w:t>
      </w:r>
      <w:r>
        <w:t>a </w:t>
      </w:r>
      <w:r w:rsidR="00131B25">
        <w:t xml:space="preserve">vtláčecího výkonu přímo v pravidlech trhu </w:t>
      </w:r>
      <w:r>
        <w:t>s </w:t>
      </w:r>
      <w:r w:rsidR="00131B25">
        <w:t>plynem.</w:t>
      </w:r>
    </w:p>
    <w:p w:rsidR="00131B25" w:rsidRDefault="00BE2566" w:rsidP="00131B25">
      <w:r>
        <w:t>U </w:t>
      </w:r>
      <w:r w:rsidR="00131B25">
        <w:t>Varianty II budou náklady na IT infrastrukturu vlivem úpravy současného aukčního mechanismu</w:t>
      </w:r>
      <w:r w:rsidR="004C710A">
        <w:t xml:space="preserve"> malé,</w:t>
      </w:r>
      <w:r w:rsidR="00131B25">
        <w:t xml:space="preserve"> jelikož nedojde k zásadní úpravě stávajících pravidel. Současně dojde k jednoznačnému ukotvení těžebního </w:t>
      </w:r>
      <w:r>
        <w:t>a </w:t>
      </w:r>
      <w:r w:rsidR="00131B25">
        <w:t xml:space="preserve">vtláčecího období v pravidlech trhu s plynem, čímž bude pro účastníky trhu s plynem </w:t>
      </w:r>
      <w:r w:rsidR="00B748DD">
        <w:t xml:space="preserve">jasné </w:t>
      </w:r>
      <w:r w:rsidR="00131B25">
        <w:t xml:space="preserve">hlavní využití zásobníků pro sezónní účely. Roční rezervace skladovací kapacity bude korelovat se skladovacím rokem, což by mělo zaručit vytěžení plynu při ukončení rezervace skladovací kapacity. Pevné stanovení délky krátkodobé/měsíční rezervace skladovací kapacity na dobu určenou provozovatelem zásobníku umožní sjednocení současných rezervací skladovacích kapacit provozovatelem zásobníku tak, aby bylo pro provozovatele jednoduché se do cyklu rezervace skladovací kapacity v skladovacích letech brzy dostat. Dnešní situace, kdy je nabízená skladovací </w:t>
      </w:r>
      <w:r w:rsidR="00B748DD">
        <w:t xml:space="preserve">kapacita </w:t>
      </w:r>
      <w:r w:rsidR="0087640A">
        <w:t>selektivně vybírána (vyzobávána)</w:t>
      </w:r>
      <w:r w:rsidR="00131B25">
        <w:t xml:space="preserve"> jen v jednotlivých měsících již nebude nastávat. Současně bude aukcemi jednotlivých skladovacích let samostatně vyřešen problém </w:t>
      </w:r>
      <w:r w:rsidR="00B748DD">
        <w:t xml:space="preserve">vertikálně integrovaného plynárenského podnikatele </w:t>
      </w:r>
      <w:r w:rsidR="00131B25">
        <w:t>s více než 80</w:t>
      </w:r>
      <w:r w:rsidR="00C97180">
        <w:t xml:space="preserve"> </w:t>
      </w:r>
      <w:r w:rsidR="00131B25">
        <w:t xml:space="preserve">% rezervované kapacity v určitém období, protože se toto omezení nebude přenášet do ostatních skladovacích let </w:t>
      </w:r>
      <w:r>
        <w:t>a </w:t>
      </w:r>
      <w:r w:rsidR="00131B25">
        <w:t xml:space="preserve">tím </w:t>
      </w:r>
      <w:r>
        <w:t>i </w:t>
      </w:r>
      <w:r w:rsidR="00131B25">
        <w:t>do jiných aukcí, což dnes nastává.</w:t>
      </w:r>
    </w:p>
    <w:tbl>
      <w:tblPr>
        <w:tblStyle w:val="Mkatabulky"/>
        <w:tblW w:w="0" w:type="auto"/>
        <w:jc w:val="center"/>
        <w:tblInd w:w="-1316" w:type="dxa"/>
        <w:tblLook w:val="04A0" w:firstRow="1" w:lastRow="0" w:firstColumn="1" w:lastColumn="0" w:noHBand="0" w:noVBand="1"/>
      </w:tblPr>
      <w:tblGrid>
        <w:gridCol w:w="3261"/>
        <w:gridCol w:w="2587"/>
        <w:gridCol w:w="2960"/>
      </w:tblGrid>
      <w:tr w:rsidR="00131B25" w:rsidTr="0087640A">
        <w:trPr>
          <w:jc w:val="center"/>
        </w:trPr>
        <w:tc>
          <w:tcPr>
            <w:tcW w:w="3261" w:type="dxa"/>
            <w:tcBorders>
              <w:top w:val="single" w:sz="4" w:space="0" w:color="auto"/>
              <w:left w:val="single" w:sz="4" w:space="0" w:color="auto"/>
              <w:bottom w:val="single" w:sz="4" w:space="0" w:color="auto"/>
              <w:right w:val="single" w:sz="4" w:space="0" w:color="auto"/>
            </w:tcBorders>
            <w:hideMark/>
          </w:tcPr>
          <w:p w:rsidR="00131B25" w:rsidRDefault="00131B25">
            <w:r>
              <w:t>Kritérium</w:t>
            </w:r>
          </w:p>
        </w:tc>
        <w:tc>
          <w:tcPr>
            <w:tcW w:w="2587" w:type="dxa"/>
            <w:tcBorders>
              <w:top w:val="single" w:sz="4" w:space="0" w:color="auto"/>
              <w:left w:val="single" w:sz="4" w:space="0" w:color="auto"/>
              <w:bottom w:val="single" w:sz="4" w:space="0" w:color="auto"/>
              <w:right w:val="single" w:sz="4" w:space="0" w:color="auto"/>
            </w:tcBorders>
            <w:hideMark/>
          </w:tcPr>
          <w:p w:rsidR="00131B25" w:rsidRDefault="00131B25">
            <w:r>
              <w:t>Varianta I</w:t>
            </w:r>
          </w:p>
        </w:tc>
        <w:tc>
          <w:tcPr>
            <w:tcW w:w="2960" w:type="dxa"/>
            <w:tcBorders>
              <w:top w:val="single" w:sz="4" w:space="0" w:color="auto"/>
              <w:left w:val="single" w:sz="4" w:space="0" w:color="auto"/>
              <w:bottom w:val="single" w:sz="4" w:space="0" w:color="auto"/>
              <w:right w:val="single" w:sz="4" w:space="0" w:color="auto"/>
            </w:tcBorders>
            <w:hideMark/>
          </w:tcPr>
          <w:p w:rsidR="00131B25" w:rsidRDefault="00131B25">
            <w:r>
              <w:t>Varianta II</w:t>
            </w:r>
          </w:p>
        </w:tc>
      </w:tr>
      <w:tr w:rsidR="00131B25" w:rsidTr="0087640A">
        <w:trPr>
          <w:jc w:val="center"/>
        </w:trPr>
        <w:tc>
          <w:tcPr>
            <w:tcW w:w="3261"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Počátek/Konec Rezervace roční skladovací kapacity</w:t>
            </w:r>
          </w:p>
        </w:tc>
        <w:tc>
          <w:tcPr>
            <w:tcW w:w="2587"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Podle volby provozovatele zásobníku plynu</w:t>
            </w:r>
          </w:p>
        </w:tc>
        <w:tc>
          <w:tcPr>
            <w:tcW w:w="2960"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Vždy s respektováním skladovacího roku – od 1.4. do 31.3.</w:t>
            </w:r>
          </w:p>
        </w:tc>
      </w:tr>
      <w:tr w:rsidR="00131B25" w:rsidTr="0087640A">
        <w:trPr>
          <w:jc w:val="center"/>
        </w:trPr>
        <w:tc>
          <w:tcPr>
            <w:tcW w:w="3261"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Doba trvání roční skladovací kapacity</w:t>
            </w:r>
          </w:p>
        </w:tc>
        <w:tc>
          <w:tcPr>
            <w:tcW w:w="2587"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Maximálně na dobu uvedenou v parametrech aukce</w:t>
            </w:r>
          </w:p>
          <w:p w:rsidR="00131B25" w:rsidRDefault="00131B25" w:rsidP="001B4E86">
            <w:pPr>
              <w:jc w:val="left"/>
            </w:pPr>
            <w:r>
              <w:t xml:space="preserve">Lze </w:t>
            </w:r>
            <w:r w:rsidR="00BE2566">
              <w:t>i </w:t>
            </w:r>
            <w:r w:rsidR="0087640A">
              <w:t xml:space="preserve">na </w:t>
            </w:r>
            <w:r>
              <w:t>libovolně kratší dobu podle požadavku účastníka aukce</w:t>
            </w:r>
          </w:p>
        </w:tc>
        <w:tc>
          <w:tcPr>
            <w:tcW w:w="2960"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 xml:space="preserve">Pro každý rok skladovací kapacity probíhá samostatná aukce. </w:t>
            </w:r>
          </w:p>
          <w:p w:rsidR="00131B25" w:rsidRDefault="00131B25" w:rsidP="001B4E86">
            <w:pPr>
              <w:jc w:val="left"/>
            </w:pPr>
            <w:r>
              <w:t>Aukce jednotlivých skladovacích let probíhají paralelně v rámci jedn</w:t>
            </w:r>
            <w:r w:rsidR="0087640A">
              <w:t>é</w:t>
            </w:r>
            <w:r>
              <w:t xml:space="preserve"> aukční seance.</w:t>
            </w:r>
          </w:p>
        </w:tc>
      </w:tr>
      <w:tr w:rsidR="00131B25" w:rsidTr="0087640A">
        <w:trPr>
          <w:jc w:val="center"/>
        </w:trPr>
        <w:tc>
          <w:tcPr>
            <w:tcW w:w="3261"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Rezervace měsíční skladovací kapacity</w:t>
            </w:r>
          </w:p>
        </w:tc>
        <w:tc>
          <w:tcPr>
            <w:tcW w:w="2587"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Maximálně na počet měsíců uvedený v podmínkách aukce.</w:t>
            </w:r>
          </w:p>
          <w:p w:rsidR="00131B25" w:rsidRDefault="00131B25" w:rsidP="001B4E86">
            <w:pPr>
              <w:jc w:val="left"/>
            </w:pPr>
            <w:r>
              <w:t xml:space="preserve">Lze </w:t>
            </w:r>
            <w:r w:rsidR="00BE2566">
              <w:t>i </w:t>
            </w:r>
            <w:r>
              <w:t>libovolně kratší dobu podle požadavku účastníka aukce</w:t>
            </w:r>
          </w:p>
        </w:tc>
        <w:tc>
          <w:tcPr>
            <w:tcW w:w="2960"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Vždy jen na počet měsíců určený provozovatelem zásobníku plyn v podmínkách aukce.</w:t>
            </w:r>
          </w:p>
        </w:tc>
      </w:tr>
      <w:tr w:rsidR="00131B25" w:rsidTr="0087640A">
        <w:trPr>
          <w:jc w:val="center"/>
        </w:trPr>
        <w:tc>
          <w:tcPr>
            <w:tcW w:w="3261"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 xml:space="preserve">Těžební </w:t>
            </w:r>
            <w:r w:rsidR="00BE2566">
              <w:t>a </w:t>
            </w:r>
            <w:r>
              <w:t>vtláčecí období</w:t>
            </w:r>
          </w:p>
        </w:tc>
        <w:tc>
          <w:tcPr>
            <w:tcW w:w="2587"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 xml:space="preserve">Minimální možnost omezení těžby </w:t>
            </w:r>
            <w:r w:rsidR="00BE2566">
              <w:t>a </w:t>
            </w:r>
            <w:r>
              <w:t>vtláčení ze strany provozovatele zásobníku, aby bylo možné využ</w:t>
            </w:r>
            <w:r w:rsidR="00627DB0">
              <w:t>í</w:t>
            </w:r>
            <w:r>
              <w:t>t skladovací kapacity, které nerespektují skladovací rok.</w:t>
            </w:r>
          </w:p>
        </w:tc>
        <w:tc>
          <w:tcPr>
            <w:tcW w:w="2960" w:type="dxa"/>
            <w:tcBorders>
              <w:top w:val="single" w:sz="4" w:space="0" w:color="auto"/>
              <w:left w:val="single" w:sz="4" w:space="0" w:color="auto"/>
              <w:bottom w:val="single" w:sz="4" w:space="0" w:color="auto"/>
              <w:right w:val="single" w:sz="4" w:space="0" w:color="auto"/>
            </w:tcBorders>
            <w:hideMark/>
          </w:tcPr>
          <w:p w:rsidR="00131B25" w:rsidRDefault="00131B25" w:rsidP="001B4E86">
            <w:pPr>
              <w:jc w:val="left"/>
            </w:pPr>
            <w:r>
              <w:t>Těžební období od 1.10</w:t>
            </w:r>
            <w:r w:rsidR="0087640A">
              <w:t>.</w:t>
            </w:r>
            <w:r>
              <w:t xml:space="preserve"> do 31.3</w:t>
            </w:r>
            <w:r w:rsidR="0087640A">
              <w:t>.</w:t>
            </w:r>
            <w:r>
              <w:t>, vtláčecí období od 1.4.</w:t>
            </w:r>
            <w:r w:rsidR="0087640A">
              <w:t xml:space="preserve"> </w:t>
            </w:r>
            <w:r>
              <w:t>do 31.10.</w:t>
            </w:r>
          </w:p>
          <w:p w:rsidR="00131B25" w:rsidRDefault="00131B25" w:rsidP="001B4E86">
            <w:pPr>
              <w:jc w:val="left"/>
            </w:pPr>
            <w:r>
              <w:t xml:space="preserve">Pro období jeden měsíc před </w:t>
            </w:r>
            <w:r w:rsidR="00BE2566">
              <w:t>a </w:t>
            </w:r>
            <w:r>
              <w:t xml:space="preserve">po skončení období bude při splnění určitých podmínek (týdenní pevná nominace apod.) zajištěna dostupnost těžebního </w:t>
            </w:r>
            <w:r w:rsidR="00BE2566">
              <w:t>a </w:t>
            </w:r>
            <w:r>
              <w:t>vtláčecího výkonu</w:t>
            </w:r>
            <w:r w:rsidR="00627DB0">
              <w:t xml:space="preserve"> na pevné bázi.</w:t>
            </w:r>
            <w:r w:rsidR="00AD3700">
              <w:t xml:space="preserve"> Stávající dostupnost na přerušitelné bázi v dalších obdobích zůstane zachována.</w:t>
            </w:r>
          </w:p>
        </w:tc>
      </w:tr>
    </w:tbl>
    <w:p w:rsidR="00131B25" w:rsidRDefault="00131B25" w:rsidP="00131B25"/>
    <w:p w:rsidR="006876F9" w:rsidRDefault="006876F9" w:rsidP="006876F9">
      <w:pPr>
        <w:pStyle w:val="Nadpis4-zvren"/>
      </w:pPr>
      <w:r>
        <w:t>Návrh řešení</w:t>
      </w:r>
    </w:p>
    <w:p w:rsidR="006876F9" w:rsidRDefault="006876F9" w:rsidP="006876F9">
      <w:pPr>
        <w:pStyle w:val="Nadpis5-zvren"/>
      </w:pPr>
      <w:r>
        <w:t>Stanovení pořadí variant a výběr nejvhodnějšího řešení</w:t>
      </w:r>
    </w:p>
    <w:p w:rsidR="00131B25" w:rsidRDefault="00BE2566" w:rsidP="00131B25">
      <w:r w:rsidRPr="00131B25">
        <w:t>S</w:t>
      </w:r>
      <w:r>
        <w:t> </w:t>
      </w:r>
      <w:r w:rsidR="00131B25" w:rsidRPr="00131B25">
        <w:t xml:space="preserve">ohledem na náklady, které by vyvolala Varianta </w:t>
      </w:r>
      <w:r w:rsidRPr="00131B25">
        <w:t>I</w:t>
      </w:r>
      <w:r>
        <w:t> </w:t>
      </w:r>
      <w:r w:rsidR="00131B25" w:rsidRPr="00131B25">
        <w:t xml:space="preserve">se jako nejvhodnější řešení jeví Varianta II. Ta </w:t>
      </w:r>
      <w:r w:rsidR="001221E8">
        <w:t>ale</w:t>
      </w:r>
      <w:r w:rsidR="001221E8" w:rsidRPr="00131B25">
        <w:t xml:space="preserve"> </w:t>
      </w:r>
      <w:r w:rsidR="00131B25" w:rsidRPr="00131B25">
        <w:t xml:space="preserve">částečně omezí volnost termínů rezervace skladovací kapacity. Takováto omezení jsou však </w:t>
      </w:r>
      <w:r w:rsidRPr="00131B25">
        <w:t>v</w:t>
      </w:r>
      <w:r>
        <w:t> </w:t>
      </w:r>
      <w:r w:rsidR="00131B25" w:rsidRPr="00131B25">
        <w:t xml:space="preserve">souladu se změnami na trhu </w:t>
      </w:r>
      <w:r w:rsidRPr="00131B25">
        <w:t>s</w:t>
      </w:r>
      <w:r>
        <w:t> </w:t>
      </w:r>
      <w:r w:rsidR="00131B25" w:rsidRPr="00131B25">
        <w:t xml:space="preserve">plynem </w:t>
      </w:r>
      <w:r w:rsidRPr="00131B25">
        <w:t>v</w:t>
      </w:r>
      <w:r>
        <w:t> </w:t>
      </w:r>
      <w:r w:rsidR="00131B25" w:rsidRPr="00131B25">
        <w:t xml:space="preserve">rámci celého evropského plynárenství. </w:t>
      </w:r>
      <w:r w:rsidRPr="00131B25">
        <w:t>K</w:t>
      </w:r>
      <w:r>
        <w:t> </w:t>
      </w:r>
      <w:r w:rsidR="00131B25" w:rsidRPr="00131B25">
        <w:t xml:space="preserve">podobnému omezení termínu rezervace došlo </w:t>
      </w:r>
      <w:r w:rsidRPr="00131B25">
        <w:t>i</w:t>
      </w:r>
      <w:r>
        <w:t> </w:t>
      </w:r>
      <w:r w:rsidRPr="00131B25">
        <w:t>u</w:t>
      </w:r>
      <w:r>
        <w:t> </w:t>
      </w:r>
      <w:r w:rsidR="00131B25" w:rsidRPr="00131B25">
        <w:t xml:space="preserve">rezervace přepravní </w:t>
      </w:r>
      <w:r w:rsidR="00310953">
        <w:t>kapacity</w:t>
      </w:r>
      <w:r w:rsidR="00131B25" w:rsidRPr="00131B25">
        <w:t xml:space="preserve">, kde je využíván plynárenský rok jako dominantní časový úsek pro rezervaci přepravní kapacity. Je proto logické, že dominantní využívání skladovacího roku pro uskladňování plynu přinese podobné výsledky. Současně to umožní pořádat aukce na jednotlivé skladovací roky zvlášť </w:t>
      </w:r>
      <w:r w:rsidRPr="00131B25">
        <w:t>a</w:t>
      </w:r>
      <w:r>
        <w:t> </w:t>
      </w:r>
      <w:r w:rsidR="00131B25" w:rsidRPr="00131B25">
        <w:t xml:space="preserve">tím </w:t>
      </w:r>
      <w:r w:rsidRPr="00131B25">
        <w:t>i</w:t>
      </w:r>
      <w:r w:rsidR="006759B4">
        <w:t> </w:t>
      </w:r>
      <w:r w:rsidR="001221E8">
        <w:t>zvýší</w:t>
      </w:r>
      <w:r>
        <w:t> </w:t>
      </w:r>
      <w:r w:rsidR="00131B25" w:rsidRPr="00131B25">
        <w:t>konkurenci mezi jednotlivými provozovateli</w:t>
      </w:r>
      <w:r w:rsidR="006759B4">
        <w:t xml:space="preserve"> zásobníků plynu</w:t>
      </w:r>
      <w:r w:rsidR="00131B25" w:rsidRPr="00131B25">
        <w:t xml:space="preserve">. Vyjde se tím </w:t>
      </w:r>
      <w:r w:rsidRPr="00131B25">
        <w:t>i</w:t>
      </w:r>
      <w:r>
        <w:t> </w:t>
      </w:r>
      <w:r w:rsidR="00131B25" w:rsidRPr="00131B25">
        <w:t xml:space="preserve">vstříc výtce provozovatelům zásobníků respektive </w:t>
      </w:r>
      <w:r w:rsidR="001221E8">
        <w:t>vertikálně integrovaným plynárenským podnikatelům,</w:t>
      </w:r>
      <w:r w:rsidR="00131B25" w:rsidRPr="00131B25">
        <w:t xml:space="preserve"> že jsou </w:t>
      </w:r>
      <w:r w:rsidRPr="00131B25">
        <w:t>v</w:t>
      </w:r>
      <w:r>
        <w:t> </w:t>
      </w:r>
      <w:r w:rsidR="00131B25" w:rsidRPr="00131B25">
        <w:t xml:space="preserve">některých aukcích omezováni na rámec pravidel trhu </w:t>
      </w:r>
      <w:r w:rsidRPr="00131B25">
        <w:t>s</w:t>
      </w:r>
      <w:r>
        <w:t> </w:t>
      </w:r>
      <w:r w:rsidR="00131B25" w:rsidRPr="00131B25">
        <w:t xml:space="preserve">plynem, protože je aukce na období, které </w:t>
      </w:r>
      <w:r w:rsidRPr="00131B25">
        <w:t>v</w:t>
      </w:r>
      <w:r>
        <w:t> </w:t>
      </w:r>
      <w:r w:rsidR="00131B25" w:rsidRPr="00131B25">
        <w:t xml:space="preserve">sobě obsahuje byť </w:t>
      </w:r>
      <w:r w:rsidRPr="00131B25">
        <w:t>i</w:t>
      </w:r>
      <w:r>
        <w:t> </w:t>
      </w:r>
      <w:r w:rsidR="00131B25" w:rsidRPr="00131B25">
        <w:t>malý časový úsek, kde splňují podmínku nejméně 80</w:t>
      </w:r>
      <w:r w:rsidR="002F144D">
        <w:t xml:space="preserve"> </w:t>
      </w:r>
      <w:r w:rsidR="00131B25" w:rsidRPr="00131B25">
        <w:t xml:space="preserve">% rezervované skladovací kapacity. Nově budou jasně odděleny aukce, kdy je podmínka splněna </w:t>
      </w:r>
      <w:r w:rsidRPr="00131B25">
        <w:t>a</w:t>
      </w:r>
      <w:r>
        <w:t> </w:t>
      </w:r>
      <w:r w:rsidR="00131B25" w:rsidRPr="00131B25">
        <w:t>kdy ne.</w:t>
      </w:r>
    </w:p>
    <w:p w:rsidR="006876F9" w:rsidRDefault="006876F9" w:rsidP="006876F9">
      <w:pPr>
        <w:pStyle w:val="Nadpis4-zvren"/>
      </w:pPr>
      <w:r>
        <w:t>Implementace doporučené varianty a vynucování</w:t>
      </w:r>
    </w:p>
    <w:p w:rsidR="0087640A" w:rsidRDefault="00A06265" w:rsidP="00A06265">
      <w:r>
        <w:t xml:space="preserve">Na základě posouzení podnětů účastníků trhu s plynem </w:t>
      </w:r>
      <w:r w:rsidR="0007579B">
        <w:t>v kontextu zvýšení flexibility nabídky produktů skladovací kapacity byla do návrhu vyhlášky implementována Varianta II, která zajistí efektivnější využití infrastruktury. Tato varianta zároveň žádným způsobem nediskriminuje některého z dotčených účastníků trhu.</w:t>
      </w:r>
    </w:p>
    <w:p w:rsidR="006876F9" w:rsidRDefault="006876F9" w:rsidP="006876F9">
      <w:pPr>
        <w:pStyle w:val="Nadpis4-zvren"/>
      </w:pPr>
      <w:r>
        <w:t>Přezkum účinnosti regulace</w:t>
      </w:r>
    </w:p>
    <w:p w:rsidR="00D24C66" w:rsidRDefault="00D24C66" w:rsidP="00D24C66">
      <w:r>
        <w:t xml:space="preserve">Energetický regulační úřad bude monitorovat aukce vyhlašované jednotlivými provozovateli zásobníku plynu, využívání rezervací krátkodobých skladovacích kapacit </w:t>
      </w:r>
      <w:r w:rsidR="00BE2566">
        <w:t>i </w:t>
      </w:r>
      <w:r>
        <w:t xml:space="preserve">dobu, po kterou je skladovací kapacita provozovateli zásobníku nabízena </w:t>
      </w:r>
      <w:r w:rsidR="00BE2566">
        <w:t>a </w:t>
      </w:r>
      <w:r>
        <w:t xml:space="preserve">současně také účastníky trhu s plynem rezervována. Současně budou také monitorovány postupy provozovatelů zásobníku plynu v období před </w:t>
      </w:r>
      <w:r w:rsidR="00BE2566">
        <w:t>a </w:t>
      </w:r>
      <w:r>
        <w:t xml:space="preserve">po těžebním/vtláčecím období, dostupnost těžebního </w:t>
      </w:r>
      <w:r w:rsidR="00BE2566">
        <w:t>a </w:t>
      </w:r>
      <w:r>
        <w:t xml:space="preserve">vtláčecího výkonu </w:t>
      </w:r>
      <w:r w:rsidR="00BE2566">
        <w:t>a </w:t>
      </w:r>
      <w:r>
        <w:t>omezení, která mimo období omezují dostupnost skladovací kapacity.</w:t>
      </w:r>
    </w:p>
    <w:p w:rsidR="005A252F" w:rsidRDefault="006876F9" w:rsidP="002D20F7">
      <w:pPr>
        <w:pStyle w:val="Nadpis4-zvren"/>
      </w:pPr>
      <w:r>
        <w:t>Konzultace a zdroje dat</w:t>
      </w:r>
    </w:p>
    <w:p w:rsidR="005A252F" w:rsidRDefault="005A252F" w:rsidP="00EE6672">
      <w:pPr>
        <w:pStyle w:val="Odstavecseseznamem"/>
        <w:numPr>
          <w:ilvl w:val="0"/>
          <w:numId w:val="17"/>
        </w:numPr>
      </w:pPr>
      <w:r>
        <w:t xml:space="preserve">Veřejný konzultační proces k návrhu </w:t>
      </w:r>
      <w:r w:rsidR="00102A61">
        <w:t xml:space="preserve">novely </w:t>
      </w:r>
      <w:r>
        <w:t>vyhlášky č. 349/2015 Sb.</w:t>
      </w:r>
    </w:p>
    <w:p w:rsidR="0007579B" w:rsidRDefault="005A252F" w:rsidP="00EE6672">
      <w:pPr>
        <w:pStyle w:val="Odstavecseseznamem"/>
        <w:numPr>
          <w:ilvl w:val="0"/>
          <w:numId w:val="17"/>
        </w:numPr>
      </w:pPr>
      <w:r>
        <w:t>Veřejný konzultační proces k návrhu vyhlášky č. 365/2009 Sb., ve znění pozdějších předpisů</w:t>
      </w:r>
    </w:p>
    <w:p w:rsidR="002D20F7" w:rsidRDefault="0007579B" w:rsidP="00EE6672">
      <w:pPr>
        <w:pStyle w:val="Odstavecseseznamem"/>
        <w:numPr>
          <w:ilvl w:val="0"/>
          <w:numId w:val="17"/>
        </w:numPr>
      </w:pPr>
      <w:r>
        <w:t xml:space="preserve">Draft </w:t>
      </w:r>
      <w:r w:rsidRPr="0007579B">
        <w:t>CEER report on barriers for storage product innovation</w:t>
      </w:r>
      <w:r w:rsidR="002D20F7">
        <w:br w:type="page"/>
      </w:r>
    </w:p>
    <w:p w:rsidR="0019440F" w:rsidRDefault="00481523" w:rsidP="00481523">
      <w:pPr>
        <w:pStyle w:val="IDPROBLEM"/>
      </w:pPr>
      <w:r>
        <w:t>Úprava postupů pro řízení překročení kapacity v případě smluvního překročení kapacity</w:t>
      </w:r>
    </w:p>
    <w:p w:rsidR="0019440F" w:rsidRDefault="0019440F" w:rsidP="0019440F">
      <w:pPr>
        <w:pStyle w:val="Nadpis4-zvren"/>
      </w:pPr>
      <w:r>
        <w:t>Identifikace problému</w:t>
      </w:r>
    </w:p>
    <w:p w:rsidR="00A64709" w:rsidRDefault="003746FB" w:rsidP="00212319">
      <w:pPr>
        <w:rPr>
          <w:color w:val="000000"/>
        </w:rPr>
      </w:pPr>
      <w:r>
        <w:t xml:space="preserve">Nařízení </w:t>
      </w:r>
      <w:r w:rsidR="00DB055F">
        <w:t xml:space="preserve">Evropského parlamentu a Rady (ES) č. 715/2009 ze dne 13. července 2009 o podmínkách přístupu k plynárenským přepravním soustavám a o zrušení nařízení (ES) č. 1775/2005 ve znění rozhodnutí Komise ze dne </w:t>
      </w:r>
      <w:r w:rsidR="00CB18AE">
        <w:t>24</w:t>
      </w:r>
      <w:r w:rsidR="00DB055F">
        <w:t xml:space="preserve">. </w:t>
      </w:r>
      <w:r w:rsidR="00CB18AE">
        <w:t>srpna</w:t>
      </w:r>
      <w:r w:rsidR="00DB055F">
        <w:t xml:space="preserve"> 201</w:t>
      </w:r>
      <w:r w:rsidR="00CB18AE">
        <w:t xml:space="preserve">2 </w:t>
      </w:r>
      <w:r w:rsidR="00CB18AE">
        <w:rPr>
          <w:color w:val="000000"/>
        </w:rPr>
        <w:t>o změně přílohy I nařízení Evropského parlamentu a Rady (ES) č. 715/2009 o podmínkách přístupu k plynárenským přepravním soustavám (2012/490/EU)</w:t>
      </w:r>
      <w:r w:rsidR="005A0313">
        <w:rPr>
          <w:color w:val="000000"/>
        </w:rPr>
        <w:t>, (dále tak „Nařízení č. 715/2009“),</w:t>
      </w:r>
      <w:r w:rsidR="00DB055F">
        <w:t xml:space="preserve"> </w:t>
      </w:r>
      <w:r w:rsidR="00B441A9" w:rsidRPr="00B441A9">
        <w:t xml:space="preserve">stanovuje základní principy postupů </w:t>
      </w:r>
      <w:r w:rsidR="00BE2566" w:rsidRPr="00B441A9">
        <w:t>v</w:t>
      </w:r>
      <w:r w:rsidR="00BE2566">
        <w:t> </w:t>
      </w:r>
      <w:r w:rsidR="00B441A9" w:rsidRPr="00B441A9">
        <w:t xml:space="preserve">případě smluvního překročení kapacity, tj. stavu, kdy je dostupná přepravní kapacita na vstupním nebo výstupním hraničním bodě smluvně rezervována, ale tato rezervace není nominačně využívána, čímž je bráněno ostatním zájemcům </w:t>
      </w:r>
      <w:r w:rsidR="00BE2566" w:rsidRPr="00B441A9">
        <w:t>o</w:t>
      </w:r>
      <w:r w:rsidR="00BE2566">
        <w:t> </w:t>
      </w:r>
      <w:r w:rsidR="00B441A9" w:rsidRPr="00B441A9">
        <w:t xml:space="preserve">využití přepravní soustavy </w:t>
      </w:r>
      <w:r w:rsidR="00BE2566" w:rsidRPr="00B441A9">
        <w:t>v</w:t>
      </w:r>
      <w:r w:rsidR="00BE2566">
        <w:t> </w:t>
      </w:r>
      <w:r w:rsidR="00B441A9" w:rsidRPr="00B441A9">
        <w:t xml:space="preserve">daném směru. </w:t>
      </w:r>
      <w:r w:rsidR="005A0313">
        <w:rPr>
          <w:color w:val="000000"/>
        </w:rPr>
        <w:t xml:space="preserve">Nařízení </w:t>
      </w:r>
      <w:r w:rsidR="005F2158">
        <w:rPr>
          <w:color w:val="000000"/>
        </w:rPr>
        <w:t>č. </w:t>
      </w:r>
      <w:r w:rsidR="00A64709">
        <w:rPr>
          <w:color w:val="000000"/>
        </w:rPr>
        <w:t>715/2009 stanoví nediskriminační pravidla pro podmínky přístupu k plynárenským přepravním soustavám, aby bylo zajištěno řádné fungování vnitřního trhu se zemním plynem. Protože duplicita plynárenských přepravních soustav není ve většině případů ani ekonomická, ani efektivní, podporuje se hospodářská soutěž na trzích se zemním plynem prostřednictvím přístupu třetích osob, čímž se infrastrukt</w:t>
      </w:r>
      <w:r w:rsidR="005A0313">
        <w:rPr>
          <w:color w:val="000000"/>
        </w:rPr>
        <w:t>ura transparentním a </w:t>
      </w:r>
      <w:r w:rsidR="00A64709">
        <w:rPr>
          <w:color w:val="000000"/>
        </w:rPr>
        <w:t>nediskriminačním způsobem otvírá všem dodavatelům. Častý výskyt smluvního překročení kapacity, kdy uživatelé sítě nemohou získat přístup do plynárenských přenosových soustav navzdory fyzicky dostupné kapacitě, je překážkou na cestě k dokončení vnitřního trhu s energií. Postupy pro řízení překročení kapacity by se měly používat v případě smluvního překročení kapacity a mají tyto případy řešit opětovným uvedením nevyužité kapacity na trh, kde bude znovu rozdělena v rámci běžných postupů přidělování kapacity.</w:t>
      </w:r>
    </w:p>
    <w:p w:rsidR="00212319" w:rsidRDefault="00BE2566" w:rsidP="00212319">
      <w:r w:rsidRPr="00B441A9">
        <w:t>V</w:t>
      </w:r>
      <w:r>
        <w:t> </w:t>
      </w:r>
      <w:r w:rsidR="00B441A9" w:rsidRPr="00B441A9">
        <w:t xml:space="preserve">současné době je problematika upravena </w:t>
      </w:r>
      <w:r w:rsidRPr="00B441A9">
        <w:t>v</w:t>
      </w:r>
      <w:r>
        <w:t> </w:t>
      </w:r>
      <w:r w:rsidR="00B441A9" w:rsidRPr="00B441A9">
        <w:t xml:space="preserve">§ 30 vyhlášky </w:t>
      </w:r>
      <w:r w:rsidRPr="00B441A9">
        <w:t>o</w:t>
      </w:r>
      <w:r>
        <w:t> </w:t>
      </w:r>
      <w:r w:rsidR="00B441A9" w:rsidRPr="00B441A9">
        <w:t xml:space="preserve">Pravidlech trhu </w:t>
      </w:r>
      <w:r w:rsidRPr="00B441A9">
        <w:t>s</w:t>
      </w:r>
      <w:r>
        <w:t> </w:t>
      </w:r>
      <w:r w:rsidR="00B441A9" w:rsidRPr="00B441A9">
        <w:t xml:space="preserve">plynem </w:t>
      </w:r>
      <w:r w:rsidRPr="00B441A9">
        <w:t>a</w:t>
      </w:r>
      <w:r>
        <w:t> </w:t>
      </w:r>
      <w:r w:rsidRPr="00B441A9">
        <w:t>v</w:t>
      </w:r>
      <w:r>
        <w:t> </w:t>
      </w:r>
      <w:r w:rsidR="00B441A9" w:rsidRPr="00B441A9">
        <w:t xml:space="preserve">Řádu provozovatele přepravní soustavy. </w:t>
      </w:r>
      <w:r w:rsidRPr="00B441A9">
        <w:t>Z</w:t>
      </w:r>
      <w:r>
        <w:t> </w:t>
      </w:r>
      <w:r w:rsidR="00B441A9" w:rsidRPr="00B441A9">
        <w:t xml:space="preserve">hlediska systematičnosti je žádoucí, aby postupy řešící jednu problematiku byly upraveny na jednom místě, tedy ve vyhlášce </w:t>
      </w:r>
      <w:r w:rsidRPr="00B441A9">
        <w:t>o</w:t>
      </w:r>
      <w:r>
        <w:t> </w:t>
      </w:r>
      <w:r w:rsidR="00B441A9" w:rsidRPr="00B441A9">
        <w:t xml:space="preserve">Pravidlech trhu </w:t>
      </w:r>
      <w:r w:rsidRPr="00B441A9">
        <w:t>s</w:t>
      </w:r>
      <w:r>
        <w:t> </w:t>
      </w:r>
      <w:r w:rsidR="00B441A9" w:rsidRPr="00B441A9">
        <w:t>plynem, co</w:t>
      </w:r>
      <w:r w:rsidRPr="00B441A9">
        <w:t>ž</w:t>
      </w:r>
      <w:r>
        <w:t> </w:t>
      </w:r>
      <w:r w:rsidR="00B441A9" w:rsidRPr="00B441A9">
        <w:t xml:space="preserve">odpovídá zmocnění podle ustanovení § 98a odst. </w:t>
      </w:r>
      <w:r w:rsidRPr="00B441A9">
        <w:t>2</w:t>
      </w:r>
      <w:r>
        <w:t> </w:t>
      </w:r>
      <w:r w:rsidR="00B441A9" w:rsidRPr="00B441A9">
        <w:t>písm. b) energetického zákona. Zároveň je nezbytné postupy revidovat zda je na základě jejich aplikace možné dosáhnout maximálního účinku. Vzhledem ke skutečnosti, že je česká přepravní soustava stále výrazně využívána pro potřeby tranzitu plynu přes Českou republiku, je ž</w:t>
      </w:r>
      <w:r w:rsidR="005A0313">
        <w:t>ádoucí nastavení postupu podle N</w:t>
      </w:r>
      <w:r w:rsidR="00B441A9" w:rsidRPr="00B441A9">
        <w:t xml:space="preserve">ařízení </w:t>
      </w:r>
      <w:r w:rsidR="005A0313">
        <w:t xml:space="preserve">č. </w:t>
      </w:r>
      <w:r w:rsidR="00B441A9" w:rsidRPr="00B441A9">
        <w:t xml:space="preserve">715/2009 harmonizovat po trase tranzitu plynu, tedy </w:t>
      </w:r>
      <w:r w:rsidRPr="00B441A9">
        <w:t>s</w:t>
      </w:r>
      <w:r>
        <w:t> </w:t>
      </w:r>
      <w:r w:rsidR="00B441A9" w:rsidRPr="00B441A9">
        <w:t xml:space="preserve">pravidly nastavenými na sousedních vstupních </w:t>
      </w:r>
      <w:r w:rsidRPr="00B441A9">
        <w:t>a</w:t>
      </w:r>
      <w:r>
        <w:t> </w:t>
      </w:r>
      <w:r w:rsidR="00B441A9" w:rsidRPr="00B441A9">
        <w:t xml:space="preserve">výstupních bodech německých přepravních soustav. Revidované postupy zároveň zohledňují výsledky monitorovací zprávy ACER ve věci </w:t>
      </w:r>
      <w:r w:rsidR="005465C6">
        <w:t>mechanismů řízení překročení kapacit</w:t>
      </w:r>
      <w:r w:rsidR="00B441A9" w:rsidRPr="00B441A9">
        <w:t>.</w:t>
      </w:r>
    </w:p>
    <w:p w:rsidR="0019440F" w:rsidRDefault="0019440F" w:rsidP="0019440F">
      <w:pPr>
        <w:pStyle w:val="Nadpis4-zvren"/>
      </w:pPr>
      <w:r>
        <w:t>Návrh variant řešení</w:t>
      </w:r>
    </w:p>
    <w:p w:rsidR="0019440F" w:rsidRDefault="0019440F" w:rsidP="0019440F">
      <w:pPr>
        <w:pStyle w:val="Varianty"/>
      </w:pPr>
      <w:r w:rsidRPr="00500755">
        <w:t>Varianta I</w:t>
      </w:r>
    </w:p>
    <w:p w:rsidR="00B441A9" w:rsidRPr="00500755" w:rsidRDefault="00B441A9" w:rsidP="00B441A9">
      <w:r>
        <w:t>Rezignovat na úpravu vyhlášky, tj. ponechat § 30 ve stávajícím znění. Tato varianta vychází z původní textace úpravy příslušné problematiky v </w:t>
      </w:r>
      <w:r w:rsidR="003746FB">
        <w:t xml:space="preserve">Nařízení Evropského parlamentu a Rady (ES) č. 715/2009 ze dne 13. července 2009 o podmínkách přístupu k plynárenským přepravním soustavám a o zrušení nařízení (ES) č. 1775/2005 ve znění rozhodnutí Komise ze dne 24. srpna 2012 </w:t>
      </w:r>
      <w:r w:rsidR="003746FB">
        <w:rPr>
          <w:color w:val="000000"/>
        </w:rPr>
        <w:t>o změně přílohy I nařízení Evropského parlamentu a Rady (ES) č. 715/2009 o podmínkách přístupu k plynárenským přepravním soustavám (2012/490/EU)</w:t>
      </w:r>
      <w:r>
        <w:t>, nicméně nereflektuje možnosti</w:t>
      </w:r>
      <w:r w:rsidR="005F2158">
        <w:t xml:space="preserve"> a opatření</w:t>
      </w:r>
      <w:r>
        <w:t xml:space="preserve"> dané</w:t>
      </w:r>
      <w:r w:rsidR="003746FB">
        <w:t xml:space="preserve"> tímto</w:t>
      </w:r>
      <w:r>
        <w:t xml:space="preserve"> </w:t>
      </w:r>
      <w:r w:rsidR="005A0313">
        <w:t>n</w:t>
      </w:r>
      <w:r w:rsidR="005F2158">
        <w:rPr>
          <w:color w:val="000000"/>
        </w:rPr>
        <w:t>ařízením</w:t>
      </w:r>
      <w:r>
        <w:t>.</w:t>
      </w:r>
    </w:p>
    <w:p w:rsidR="0019440F" w:rsidRDefault="0019440F" w:rsidP="0019440F">
      <w:pPr>
        <w:pStyle w:val="Varianty"/>
      </w:pPr>
      <w:r>
        <w:t>Varianta II</w:t>
      </w:r>
    </w:p>
    <w:p w:rsidR="00B441A9" w:rsidRDefault="00B441A9" w:rsidP="00B441A9">
      <w:r>
        <w:t xml:space="preserve">Úprava podle předkládaného návrhu, který vychází z řádu provozovatele přepravní soustavy, stávající úpravy </w:t>
      </w:r>
      <w:r w:rsidR="00BE2566">
        <w:t>v </w:t>
      </w:r>
      <w:r>
        <w:t xml:space="preserve">§ 30 </w:t>
      </w:r>
      <w:r w:rsidR="00BE2566">
        <w:t>a </w:t>
      </w:r>
      <w:r>
        <w:t>nastavení postupů pro řízení překročení kapacity v sousedních zemích. Varianta předpokládá racionální chování subjektů, které mají rezervovánu přepravní kapacitu, kdy je jejich ekonomickým zájmem maximalizovat zisk, tedy minimalizovat velikost rezervované přepravní kapacity. Hlavním prvkem tohoto přístupu je obchodování s přepravní kapacitou na sekundárním trhu</w:t>
      </w:r>
      <w:r w:rsidR="009856E4">
        <w:t xml:space="preserve">, </w:t>
      </w:r>
      <w:r w:rsidR="00F25577">
        <w:t xml:space="preserve">aby </w:t>
      </w:r>
      <w:r w:rsidR="009856E4">
        <w:t>tak nevyužívaná kapacita byla opětovně uvedena na trh</w:t>
      </w:r>
      <w:r>
        <w:t xml:space="preserve">. V případě, že k využití tohoto nástroje ze strany obchodníka s plynem nedojde, použije provozovatel přepravní soustavy </w:t>
      </w:r>
      <w:r w:rsidR="009856E4">
        <w:t>opatření vycházející z N</w:t>
      </w:r>
      <w:r>
        <w:t>ařízení</w:t>
      </w:r>
      <w:r w:rsidR="009856E4">
        <w:t xml:space="preserve"> č</w:t>
      </w:r>
      <w:r w:rsidR="00F25577">
        <w:t>.</w:t>
      </w:r>
      <w:r w:rsidR="009856E4">
        <w:t xml:space="preserve"> </w:t>
      </w:r>
      <w:r>
        <w:t>715/2009 tak, aby maximalizoval množství nabízené kapacity</w:t>
      </w:r>
      <w:r w:rsidR="009856E4">
        <w:t>, tak aby došlo k naplnění cíle uvedeného v předchozí větě.</w:t>
      </w:r>
    </w:p>
    <w:p w:rsidR="009856E4" w:rsidRDefault="009856E4" w:rsidP="00B441A9">
      <w:r>
        <w:t xml:space="preserve">Vzhledem ke skutečnosti, že má dojít k co nejúčinnějšímu uplatňování postupů pro řízení překročení kapacity, </w:t>
      </w:r>
      <w:r w:rsidR="00493CC4">
        <w:t>jsou do návrhu vyhlášky zapracována tato opatření: 1) Pevný mechanismus ztráty v případě nevyužití v režimu na následující den</w:t>
      </w:r>
      <w:r w:rsidR="0007579B">
        <w:t xml:space="preserve"> (FDA UIOLI)</w:t>
      </w:r>
      <w:r w:rsidR="00493CC4">
        <w:t>, 2) Dlouhodobý mechanismus ztráty v případě nevyužití</w:t>
      </w:r>
      <w:r w:rsidR="004C19B7">
        <w:t xml:space="preserve"> (LT UIOLI)</w:t>
      </w:r>
      <w:r w:rsidR="00493CC4">
        <w:t xml:space="preserve">. Tyto mechanismy jsou v souladu s nastavením na propojovacích bodech, neboť polský i německý model trhu s plynem tyto mechanismy implementoval. </w:t>
      </w:r>
    </w:p>
    <w:p w:rsidR="0019440F" w:rsidRDefault="0019440F" w:rsidP="0019440F">
      <w:pPr>
        <w:pStyle w:val="Varianty"/>
      </w:pPr>
      <w:r>
        <w:t>Varianta III</w:t>
      </w:r>
    </w:p>
    <w:p w:rsidR="00B441A9" w:rsidRDefault="00B441A9" w:rsidP="00B441A9">
      <w:r>
        <w:t xml:space="preserve">Vzhledem k nutnosti dosáhnout maximální možné míry jednotného přístupu k dané problematice na obou stranách vstupních </w:t>
      </w:r>
      <w:r w:rsidR="00BE2566">
        <w:t>a </w:t>
      </w:r>
      <w:r>
        <w:t>výstupních hraničních bodů, nebyla jiná varianta zvažována, neboť by už ve svém základním principu byla v rozporu s hlavní myšlenkou tvorby pravidel pro vnitřní trh s energií v rámci EU – nedošlo by ke koordinovaném</w:t>
      </w:r>
      <w:r w:rsidR="00493CC4">
        <w:t>u</w:t>
      </w:r>
      <w:r>
        <w:t xml:space="preserve"> přístupu na jednotlivých vstupních </w:t>
      </w:r>
      <w:r w:rsidR="00BE2566">
        <w:t>a </w:t>
      </w:r>
      <w:r>
        <w:t>výstupních hraničních bodech.</w:t>
      </w:r>
    </w:p>
    <w:p w:rsidR="0019440F" w:rsidRDefault="0019440F" w:rsidP="0019440F">
      <w:pPr>
        <w:pStyle w:val="Nadpis4-zvren"/>
      </w:pPr>
      <w:r>
        <w:t xml:space="preserve">Vyhodnocení nákladů </w:t>
      </w:r>
      <w:r w:rsidR="007E62B0">
        <w:t>a </w:t>
      </w:r>
      <w:r>
        <w:t>přínosů</w:t>
      </w:r>
    </w:p>
    <w:p w:rsidR="00B441A9" w:rsidRDefault="00B441A9" w:rsidP="00B441A9">
      <w:r w:rsidRPr="00B441A9">
        <w:t xml:space="preserve">Vzhledem ke skutečnosti, že návrh úpravy vyhlášky vychází </w:t>
      </w:r>
      <w:r w:rsidR="00BE2566" w:rsidRPr="00B441A9">
        <w:t>z</w:t>
      </w:r>
      <w:r w:rsidR="00BE2566">
        <w:t> </w:t>
      </w:r>
      <w:r w:rsidRPr="00B441A9">
        <w:t>algoritmů popsaných</w:t>
      </w:r>
      <w:r w:rsidR="00493CC4">
        <w:t xml:space="preserve"> v současné době</w:t>
      </w:r>
      <w:r w:rsidRPr="00B441A9">
        <w:t xml:space="preserve"> </w:t>
      </w:r>
      <w:r w:rsidR="00BE2566" w:rsidRPr="00B441A9">
        <w:t>v</w:t>
      </w:r>
      <w:r w:rsidR="00BE2566">
        <w:t> </w:t>
      </w:r>
      <w:r w:rsidRPr="00B441A9">
        <w:t xml:space="preserve">Řádu provozovatele přepravní soustavy, nejsou očekávány náklady na IT na straně provozovatele přepravní soustavy, jehož se tato problematika primárně dotýká, neboť provádí vyhodnocování využití přepravní kapacity </w:t>
      </w:r>
      <w:r w:rsidR="00BE2566" w:rsidRPr="00B441A9">
        <w:t>a</w:t>
      </w:r>
      <w:r w:rsidR="00BE2566">
        <w:t> </w:t>
      </w:r>
      <w:r w:rsidRPr="00B441A9">
        <w:t xml:space="preserve">provozuje platformu pro sekundární obchodování </w:t>
      </w:r>
      <w:r w:rsidR="00BE2566" w:rsidRPr="00B441A9">
        <w:t>s</w:t>
      </w:r>
      <w:r w:rsidR="00BE2566">
        <w:t> </w:t>
      </w:r>
      <w:r w:rsidRPr="00B441A9">
        <w:t>přepravní kapacitou.</w:t>
      </w:r>
    </w:p>
    <w:p w:rsidR="0019440F" w:rsidRDefault="0019440F" w:rsidP="0019440F">
      <w:pPr>
        <w:pStyle w:val="Nadpis4-zvren"/>
      </w:pPr>
      <w:r>
        <w:t xml:space="preserve">Vyhodnocení nákladů </w:t>
      </w:r>
      <w:r w:rsidR="007E62B0">
        <w:t>a </w:t>
      </w:r>
      <w:r>
        <w:t>přínosů variant</w:t>
      </w:r>
    </w:p>
    <w:p w:rsidR="0019440F" w:rsidRDefault="0019440F" w:rsidP="0019440F">
      <w:pPr>
        <w:pStyle w:val="Nadpis4-zvren"/>
      </w:pPr>
      <w:r>
        <w:t>Návrh řešení</w:t>
      </w:r>
    </w:p>
    <w:p w:rsidR="00493CC4" w:rsidRDefault="0007579B" w:rsidP="00493CC4">
      <w:r>
        <w:t>Návrh FDA UIOLI má zajistit, že v případě plného nevyužití (není provedena nominace v rozsahu rezervované kapacity v plynárenském dni, který předchází dni, v němž má dojít k přepravě plynu) je část pevné přepravní kapacity dána k dispozici trhu s plynem pro využití v režimu na následující den.</w:t>
      </w:r>
      <w:r w:rsidR="004C19B7">
        <w:t xml:space="preserve"> </w:t>
      </w:r>
    </w:p>
    <w:p w:rsidR="004C19B7" w:rsidRDefault="004C19B7" w:rsidP="00493CC4">
      <w:r>
        <w:t xml:space="preserve">Návrh LT UIOLI vyžaduje sledování využití rezervovaných kapacit na úrovni </w:t>
      </w:r>
      <w:r w:rsidR="0079327E">
        <w:t>subjektů zúčtování nebo zahraničních subjektů</w:t>
      </w:r>
      <w:r>
        <w:t xml:space="preserve"> využívajících přímo přepravní soustavu. Systematicky nevyužitá kapacita, kterou obchodník s plynem neprodal nebo nenabídl na trhu se sekundární kapacitou je tomuto uživateli odebrána ve stanoveném rozsahu.</w:t>
      </w:r>
    </w:p>
    <w:p w:rsidR="0019440F" w:rsidRDefault="0019440F" w:rsidP="0019440F">
      <w:pPr>
        <w:pStyle w:val="Nadpis5-zvren"/>
      </w:pPr>
      <w:r>
        <w:t xml:space="preserve">Stanovení pořadí variant </w:t>
      </w:r>
      <w:r w:rsidR="007E62B0">
        <w:t>a </w:t>
      </w:r>
      <w:r>
        <w:t>výběr nejvhodnějšího řešení</w:t>
      </w:r>
    </w:p>
    <w:p w:rsidR="00B441A9" w:rsidRDefault="00B441A9" w:rsidP="00AB2287">
      <w:pPr>
        <w:pStyle w:val="Odstavecseseznamem"/>
        <w:numPr>
          <w:ilvl w:val="0"/>
          <w:numId w:val="15"/>
        </w:numPr>
      </w:pPr>
      <w:r>
        <w:t>Varianta II</w:t>
      </w:r>
    </w:p>
    <w:p w:rsidR="00B441A9" w:rsidRDefault="00B441A9" w:rsidP="00AB2287">
      <w:pPr>
        <w:pStyle w:val="Odstavecseseznamem"/>
        <w:numPr>
          <w:ilvl w:val="0"/>
          <w:numId w:val="15"/>
        </w:numPr>
      </w:pPr>
      <w:r>
        <w:t>Varianta III</w:t>
      </w:r>
    </w:p>
    <w:p w:rsidR="00B441A9" w:rsidRDefault="00B441A9" w:rsidP="00AB2287">
      <w:pPr>
        <w:pStyle w:val="Odstavecseseznamem"/>
        <w:numPr>
          <w:ilvl w:val="0"/>
          <w:numId w:val="15"/>
        </w:numPr>
      </w:pPr>
      <w:r>
        <w:t>Varianta I</w:t>
      </w:r>
    </w:p>
    <w:p w:rsidR="0019440F" w:rsidRDefault="0019440F" w:rsidP="0019440F">
      <w:pPr>
        <w:pStyle w:val="Nadpis4-zvren"/>
      </w:pPr>
      <w:r>
        <w:t xml:space="preserve">Implementace doporučené varianty </w:t>
      </w:r>
      <w:r w:rsidR="007E62B0">
        <w:t>a </w:t>
      </w:r>
      <w:r>
        <w:t>vynucování</w:t>
      </w:r>
    </w:p>
    <w:p w:rsidR="00D75F35" w:rsidRDefault="0026171D" w:rsidP="00D75F35">
      <w:r>
        <w:t>Implementace Varianty II je logickým krokem, který bude mít dopad především do informačních systémů provozovatele přepravní soustavy. Úpravy navržených mechanismů budou vycházet z podnětů provozovatele přepravní soustavy a z monitorovacích zpráv agentury ACER.</w:t>
      </w:r>
    </w:p>
    <w:p w:rsidR="0019440F" w:rsidRDefault="0019440F" w:rsidP="0019440F">
      <w:pPr>
        <w:pStyle w:val="Nadpis4-zvren"/>
      </w:pPr>
      <w:r>
        <w:t>Přezkum účinnosti regulace</w:t>
      </w:r>
    </w:p>
    <w:p w:rsidR="00B441A9" w:rsidRDefault="00B441A9" w:rsidP="00B441A9">
      <w:r w:rsidRPr="00B441A9">
        <w:t xml:space="preserve">Účinnost postupů nastavených na jednotlivých vstupních </w:t>
      </w:r>
      <w:r w:rsidR="00BE2566" w:rsidRPr="00B441A9">
        <w:t>a</w:t>
      </w:r>
      <w:r w:rsidR="00BE2566">
        <w:t> </w:t>
      </w:r>
      <w:r w:rsidRPr="00B441A9">
        <w:t xml:space="preserve">výstupních bodech monitoruje ACER, který výsledky svého zjištění shrnuje </w:t>
      </w:r>
      <w:r w:rsidR="00BE2566" w:rsidRPr="00B441A9">
        <w:t>v</w:t>
      </w:r>
      <w:r w:rsidR="00BE2566">
        <w:t> </w:t>
      </w:r>
      <w:r w:rsidRPr="00B441A9">
        <w:t xml:space="preserve">hodnotící zprávě, která by měla být národní regulační orgány vodítkem, jak nastavené postupy upravit. Energetický regulační úřad bude </w:t>
      </w:r>
      <w:r w:rsidR="00BE2566" w:rsidRPr="00B441A9">
        <w:t>v</w:t>
      </w:r>
      <w:r w:rsidR="00BE2566">
        <w:t> </w:t>
      </w:r>
      <w:r w:rsidRPr="00B441A9">
        <w:t xml:space="preserve">této problematice spolupracovat </w:t>
      </w:r>
      <w:r w:rsidR="00BE2566" w:rsidRPr="00B441A9">
        <w:t>s</w:t>
      </w:r>
      <w:r w:rsidR="00BE2566">
        <w:t> </w:t>
      </w:r>
      <w:r w:rsidRPr="00B441A9">
        <w:t xml:space="preserve">provozovatelem přepravní soustavy tak, aby nastavení postupů na úrovni vyhlášky odpovídalo záměru maximalizovat nabízenou přepravní kapacitu. Při vyhodnocování nastavení na národní úrovni budou zohledňovány připomínky účastníků trhu </w:t>
      </w:r>
      <w:r w:rsidR="00BE2566" w:rsidRPr="00B441A9">
        <w:t>s</w:t>
      </w:r>
      <w:r w:rsidR="00BE2566">
        <w:t> </w:t>
      </w:r>
      <w:r w:rsidRPr="00B441A9">
        <w:t>plynem, kterých se tato problematika dotýká.</w:t>
      </w:r>
    </w:p>
    <w:p w:rsidR="00533606" w:rsidRDefault="0019440F" w:rsidP="0019440F">
      <w:pPr>
        <w:pStyle w:val="Nadpis4-zvren"/>
      </w:pPr>
      <w:r>
        <w:t xml:space="preserve">Konzultace </w:t>
      </w:r>
      <w:r w:rsidR="007E62B0">
        <w:t>a </w:t>
      </w:r>
      <w:r>
        <w:t>zdroje dat</w:t>
      </w:r>
    </w:p>
    <w:p w:rsidR="00533606" w:rsidRDefault="00533606" w:rsidP="00493CC4">
      <w:pPr>
        <w:pStyle w:val="Odstavecseseznamem"/>
        <w:numPr>
          <w:ilvl w:val="0"/>
          <w:numId w:val="14"/>
        </w:numPr>
      </w:pPr>
      <w:r>
        <w:t xml:space="preserve">Veřejný konzultační proces </w:t>
      </w:r>
      <w:r w:rsidR="00BE2566">
        <w:t>k</w:t>
      </w:r>
      <w:r w:rsidR="00906CC4">
        <w:t> návrhu novely</w:t>
      </w:r>
      <w:r>
        <w:t xml:space="preserve"> vyhlášky č. 349/2015</w:t>
      </w:r>
    </w:p>
    <w:p w:rsidR="0050123E" w:rsidRDefault="00533606" w:rsidP="00493CC4">
      <w:pPr>
        <w:pStyle w:val="Odstavecseseznamem"/>
        <w:numPr>
          <w:ilvl w:val="0"/>
          <w:numId w:val="14"/>
        </w:numPr>
      </w:pPr>
      <w:r>
        <w:t xml:space="preserve">ACER </w:t>
      </w:r>
      <w:r w:rsidR="00493CC4" w:rsidRPr="00493CC4">
        <w:t xml:space="preserve">Monitoring Report on Gas Congestion Management Procedures (CMP) </w:t>
      </w:r>
      <w:r w:rsidR="00493CC4">
        <w:t>(</w:t>
      </w:r>
      <w:r w:rsidR="00493CC4" w:rsidRPr="00493CC4">
        <w:t>http://www.acer.europa.eu/Official_documents/Acts_of_the_Agency/Publication/ACER%20CMP%20Implementation%20Monitoring%20Report%202014.pdf</w:t>
      </w:r>
      <w:r w:rsidR="00493CC4">
        <w:t>)</w:t>
      </w:r>
      <w:r w:rsidR="0050123E">
        <w:br w:type="page"/>
      </w:r>
    </w:p>
    <w:p w:rsidR="0019440F" w:rsidRDefault="00481523" w:rsidP="00481523">
      <w:pPr>
        <w:pStyle w:val="IDPROBLEM"/>
      </w:pPr>
      <w:r>
        <w:t xml:space="preserve">Úprava postupu při přerušení, omezení </w:t>
      </w:r>
      <w:r w:rsidR="00DC5A28">
        <w:t>a </w:t>
      </w:r>
      <w:r>
        <w:t xml:space="preserve">obnovení dodávky plynu při neoprávněném odběru, neoprávněné distribuci </w:t>
      </w:r>
      <w:r w:rsidR="00DC5A28">
        <w:t>a </w:t>
      </w:r>
      <w:r>
        <w:t>neoprávněné přepravě</w:t>
      </w:r>
    </w:p>
    <w:p w:rsidR="0019440F" w:rsidRDefault="0019440F" w:rsidP="0019440F">
      <w:pPr>
        <w:pStyle w:val="Nadpis4-zvren"/>
      </w:pPr>
      <w:r>
        <w:t>Identifikace problému</w:t>
      </w:r>
    </w:p>
    <w:p w:rsidR="002A0B97" w:rsidRDefault="002A0B97" w:rsidP="002A0B97">
      <w:r>
        <w:t xml:space="preserve">Energetický zákon v příslušných ustanoveních upravuje práva </w:t>
      </w:r>
      <w:r w:rsidR="00BE2566">
        <w:t>a </w:t>
      </w:r>
      <w:r>
        <w:t xml:space="preserve">povinnosti zákazníků, </w:t>
      </w:r>
      <w:r w:rsidR="00AB2287">
        <w:t>obchodníků s plynem</w:t>
      </w:r>
      <w:r>
        <w:t xml:space="preserve"> </w:t>
      </w:r>
      <w:r w:rsidR="00BE2566">
        <w:t>a </w:t>
      </w:r>
      <w:r>
        <w:t xml:space="preserve">provozovatelů distribučních soustav. Konkrétně jsou pro tyto skupiny účastníků trhů s plynem určena tato práva </w:t>
      </w:r>
      <w:r w:rsidR="00BE2566">
        <w:t>a </w:t>
      </w:r>
      <w:r>
        <w:t>povinnosti:</w:t>
      </w:r>
    </w:p>
    <w:p w:rsidR="002A0B97" w:rsidRDefault="00AB2287" w:rsidP="002A0B97">
      <w:pPr>
        <w:pStyle w:val="Odstavecseseznamem"/>
        <w:numPr>
          <w:ilvl w:val="0"/>
          <w:numId w:val="9"/>
        </w:numPr>
      </w:pPr>
      <w:r>
        <w:t>Obchodník s plynem má</w:t>
      </w:r>
    </w:p>
    <w:p w:rsidR="00AB2287" w:rsidRDefault="00AB2287" w:rsidP="00AB2287">
      <w:pPr>
        <w:pStyle w:val="Odstavecseseznamem"/>
        <w:numPr>
          <w:ilvl w:val="1"/>
          <w:numId w:val="9"/>
        </w:numPr>
      </w:pPr>
      <w:r>
        <w:t>právo ukončit nebo přerušit dodávku plynu zákazníkovi při neoprávněném odběru</w:t>
      </w:r>
    </w:p>
    <w:p w:rsidR="002A0B97" w:rsidRDefault="002A0B97" w:rsidP="002A0B97">
      <w:pPr>
        <w:pStyle w:val="Odstavecseseznamem"/>
        <w:numPr>
          <w:ilvl w:val="0"/>
          <w:numId w:val="9"/>
        </w:numPr>
      </w:pPr>
      <w:r>
        <w:t>Provozovatel distribuční soustavy</w:t>
      </w:r>
      <w:r w:rsidR="00AB2287">
        <w:t xml:space="preserve"> má</w:t>
      </w:r>
    </w:p>
    <w:p w:rsidR="00AB2287" w:rsidRDefault="00AB2287" w:rsidP="00AB2287">
      <w:pPr>
        <w:pStyle w:val="Odstavecseseznamem"/>
        <w:numPr>
          <w:ilvl w:val="1"/>
          <w:numId w:val="9"/>
        </w:numPr>
      </w:pPr>
      <w:r>
        <w:t>právo omezit nebo přerušit distribuci plynu při neoprávněném odběru nebo neoprávněné distribuci nebo při neoprávněné přepravě plynu</w:t>
      </w:r>
      <w:r w:rsidR="0061141A">
        <w:t>,</w:t>
      </w:r>
    </w:p>
    <w:p w:rsidR="0061141A" w:rsidRDefault="0061141A" w:rsidP="0061141A">
      <w:pPr>
        <w:pStyle w:val="Odstavecseseznamem"/>
        <w:numPr>
          <w:ilvl w:val="1"/>
          <w:numId w:val="9"/>
        </w:numPr>
      </w:pPr>
      <w:r>
        <w:t xml:space="preserve">má právo </w:t>
      </w:r>
      <w:r w:rsidRPr="0061141A">
        <w:t xml:space="preserve">omezit nebo přerušit v nezbytném rozsahu distribuci plynu v </w:t>
      </w:r>
      <w:r>
        <w:t xml:space="preserve">případě </w:t>
      </w:r>
      <w:r w:rsidRPr="0061141A">
        <w:t>odběru plynu, kdy zákazník opakovaně bez vážného důvodu neumožnil přístup k měřicímu zařízení nebo neměřeným částem odběrného plynového zařízení, přestože byl k umožnění přístupu za účelem provedení kontroly, odečtu, údržby, výměny či odebrání měřicího zařízení alespoň 15 dnů předem písemně nebo jiným prokazatelným způsobem vyzván,</w:t>
      </w:r>
    </w:p>
    <w:p w:rsidR="0061141A" w:rsidRDefault="0061141A" w:rsidP="0061141A">
      <w:pPr>
        <w:pStyle w:val="Odstavecseseznamem"/>
        <w:numPr>
          <w:ilvl w:val="1"/>
          <w:numId w:val="9"/>
        </w:numPr>
      </w:pPr>
      <w:r>
        <w:t>povinnost na</w:t>
      </w:r>
      <w:r w:rsidRPr="0061141A">
        <w:t xml:space="preserve"> základě žádosti obchodníka s plynem nebo výrobce plynu přerušit v případě neoprávněného odběru dodávku plynu,</w:t>
      </w:r>
    </w:p>
    <w:p w:rsidR="002A0B97" w:rsidRDefault="002A0B97" w:rsidP="002A0B97">
      <w:pPr>
        <w:pStyle w:val="Odstavecseseznamem"/>
        <w:numPr>
          <w:ilvl w:val="0"/>
          <w:numId w:val="9"/>
        </w:numPr>
      </w:pPr>
      <w:r>
        <w:t>Zákazník</w:t>
      </w:r>
      <w:r w:rsidR="0061141A">
        <w:t xml:space="preserve"> má</w:t>
      </w:r>
    </w:p>
    <w:p w:rsidR="0061141A" w:rsidRDefault="0061141A" w:rsidP="0061141A">
      <w:pPr>
        <w:pStyle w:val="Odstavecseseznamem"/>
        <w:numPr>
          <w:ilvl w:val="1"/>
          <w:numId w:val="9"/>
        </w:numPr>
      </w:pPr>
      <w:r>
        <w:t xml:space="preserve">právo na </w:t>
      </w:r>
      <w:r w:rsidRPr="0061141A">
        <w:t>využití služby přepravy plynu nebo služby distribuční soustavy ve svém odběrném místě za cenu uplatněnou v souladu s cenovou regulací, pokud to technické podmínky přepravní nebo distribuční soustavy umožňují,</w:t>
      </w:r>
    </w:p>
    <w:p w:rsidR="0061141A" w:rsidRDefault="0061141A" w:rsidP="0061141A">
      <w:pPr>
        <w:pStyle w:val="Odstavecseseznamem"/>
        <w:numPr>
          <w:ilvl w:val="1"/>
          <w:numId w:val="9"/>
        </w:numPr>
      </w:pPr>
      <w:r>
        <w:t xml:space="preserve">právo na </w:t>
      </w:r>
      <w:r w:rsidRPr="0061141A">
        <w:t>přístup do přepravní soustavy, distribuční soustavy, k zásobníku ply</w:t>
      </w:r>
      <w:r>
        <w:t>nu za podmínek stanovených energetickým</w:t>
      </w:r>
      <w:r w:rsidRPr="0061141A">
        <w:t xml:space="preserve"> zákonem,</w:t>
      </w:r>
    </w:p>
    <w:p w:rsidR="0061141A" w:rsidRDefault="0061141A" w:rsidP="0061141A">
      <w:pPr>
        <w:pStyle w:val="Odstavecseseznamem"/>
        <w:numPr>
          <w:ilvl w:val="1"/>
          <w:numId w:val="9"/>
        </w:numPr>
      </w:pPr>
      <w:r>
        <w:t xml:space="preserve">má povinnost </w:t>
      </w:r>
      <w:r w:rsidRPr="0061141A">
        <w:t>zajistit přístup k měřicím zařízením provozovateli příslušné soustavy, ke které je připojen,</w:t>
      </w:r>
      <w:r>
        <w:t xml:space="preserve"> </w:t>
      </w:r>
    </w:p>
    <w:p w:rsidR="002A0B97" w:rsidRDefault="002A0B97" w:rsidP="002A0B97">
      <w:r>
        <w:t xml:space="preserve">Energetický regulační úřad je ustanovením § 98a odst. </w:t>
      </w:r>
      <w:r w:rsidR="00BE2566">
        <w:t>2 </w:t>
      </w:r>
      <w:r>
        <w:t xml:space="preserve">písm. b) bodu 10 zmocněn k tomu, aby prostřednictvím vyhlášky </w:t>
      </w:r>
      <w:r w:rsidR="00BE2566">
        <w:t>o </w:t>
      </w:r>
      <w:r>
        <w:t xml:space="preserve">Pravidlech trhu s plynem stanovil postupy při přerušení, omezení a obnovení dodávky plynu při neoprávněném odběru, neoprávněné distribuci a neoprávněné přepravě. Vzhledem ke skutečnosti, že jednak energetický zákon žádným způsobem nedefinuje pojem přerušení, </w:t>
      </w:r>
      <w:r w:rsidR="00BE2566">
        <w:t>a </w:t>
      </w:r>
      <w:r>
        <w:t xml:space="preserve">dále že není možné na úrovni vyhlášky vymezit pojmy použité v zákoně, dochází k tomu, že se dlouhodobě nedaří nastavit postupy podle výše uvedeného zmocnění tak, aby jednotlivé kroky předmětného postupu vytvářely logický celek s jasně definovaným závěrem. Klíčovým problémem je postup provozovatele distribuční soustavy v případě, že zákazník neposkytne součinnost </w:t>
      </w:r>
      <w:r w:rsidR="00BE2566">
        <w:t>a </w:t>
      </w:r>
      <w:r>
        <w:t xml:space="preserve">neumožní přístup k odběrnému místu, aby mohlo dojít k požadovanému přerušení. Dodavatel plynu tak trvá na přerušení, odmítá využít proces ukončení, kdy problém nevzniká, protože nechce </w:t>
      </w:r>
      <w:r w:rsidR="006166AC">
        <w:t>ukončit dodávku plynu zákazníkovi</w:t>
      </w:r>
      <w:r>
        <w:t xml:space="preserve"> </w:t>
      </w:r>
      <w:r w:rsidR="006166AC">
        <w:t>s</w:t>
      </w:r>
      <w:r>
        <w:t xml:space="preserve"> </w:t>
      </w:r>
      <w:r w:rsidR="006166AC">
        <w:t xml:space="preserve">platnou </w:t>
      </w:r>
      <w:r>
        <w:t xml:space="preserve">smlouvou. Zároveň požaduje, aby provozovatel distribuční soustavy donekonečna prováděl pokus </w:t>
      </w:r>
      <w:r w:rsidR="00BE2566">
        <w:t>o </w:t>
      </w:r>
      <w:r>
        <w:t xml:space="preserve">přerušení. Zákazník, který naplnil charakteristiku neoprávněného odběru, má sice povinnost provozovatele distribuční soustavy k měřicímu zařízení </w:t>
      </w:r>
      <w:r w:rsidR="0050728D">
        <w:t>umožnit přístup</w:t>
      </w:r>
      <w:r>
        <w:t xml:space="preserve">, ovšem pokud tak neučiní, nepodal doposud žádný z dotčených účastníků trhu podnět na řešení deliktu podle </w:t>
      </w:r>
      <w:r w:rsidR="0050728D">
        <w:t>energetického zákona</w:t>
      </w:r>
      <w:r>
        <w:t xml:space="preserve">. </w:t>
      </w:r>
      <w:r w:rsidR="0050728D">
        <w:t xml:space="preserve">Výsledkem je stav, kdy nedojde k přerušení dodávky plynu ze strany provozovatele distribuční soustavy, neboť </w:t>
      </w:r>
      <w:r>
        <w:t>zákazník neumožnil přístup</w:t>
      </w:r>
      <w:r w:rsidR="0050728D">
        <w:t xml:space="preserve"> k měřicímu zařízení provozovatele distribuční soustavy</w:t>
      </w:r>
      <w:r>
        <w:t xml:space="preserve">. Při nastavování postupů je navíc nezbytné respektovat </w:t>
      </w:r>
      <w:r w:rsidR="00162774">
        <w:t>zmocnění daná energetickým zákonem</w:t>
      </w:r>
      <w:r>
        <w:t>.</w:t>
      </w:r>
    </w:p>
    <w:p w:rsidR="0019440F" w:rsidRDefault="0019440F" w:rsidP="0019440F">
      <w:pPr>
        <w:pStyle w:val="Nadpis4-zvren"/>
      </w:pPr>
      <w:r>
        <w:t>Návrh variant řešení</w:t>
      </w:r>
    </w:p>
    <w:p w:rsidR="0019440F" w:rsidRDefault="0019440F" w:rsidP="0019440F">
      <w:pPr>
        <w:pStyle w:val="Varianty"/>
      </w:pPr>
      <w:r w:rsidRPr="00500755">
        <w:t>Varianta I</w:t>
      </w:r>
    </w:p>
    <w:p w:rsidR="002A0B97" w:rsidRPr="00500755" w:rsidRDefault="002A0B97" w:rsidP="002A0B97">
      <w:r>
        <w:t>Rezignovat na úpravu vyhlášky.</w:t>
      </w:r>
    </w:p>
    <w:p w:rsidR="0019440F" w:rsidRDefault="0019440F" w:rsidP="0019440F">
      <w:pPr>
        <w:pStyle w:val="Varianty"/>
      </w:pPr>
      <w:r>
        <w:t>Varianta II</w:t>
      </w:r>
    </w:p>
    <w:p w:rsidR="002A0B97" w:rsidRDefault="002A0B97" w:rsidP="002A0B97">
      <w:r>
        <w:t xml:space="preserve">Zachovat postupy dané vyhláškou č. 349/2015 Sb. </w:t>
      </w:r>
      <w:r w:rsidR="00BE2566">
        <w:t>a </w:t>
      </w:r>
      <w:r>
        <w:t xml:space="preserve">provést pouze dílčí změny vyplývající z veřejného konzultačního procesu jako akceptovatelné </w:t>
      </w:r>
      <w:r w:rsidR="00BE2566">
        <w:t>a </w:t>
      </w:r>
      <w:r>
        <w:t>nemající negativní dopad na rovnováhu mezi účastníky trhu s plynem v ČR.</w:t>
      </w:r>
    </w:p>
    <w:p w:rsidR="0019440F" w:rsidRDefault="0019440F" w:rsidP="0019440F">
      <w:pPr>
        <w:pStyle w:val="Varianty"/>
      </w:pPr>
      <w:r>
        <w:t>Varianta III</w:t>
      </w:r>
    </w:p>
    <w:p w:rsidR="002A0B97" w:rsidRDefault="002A0B97" w:rsidP="002A0B97">
      <w:r>
        <w:t>Provést zásadní úpravu vyhlášky takovým způsobem, že by byly použity postupy stanovené vyhláškou č. 365/2009 Sb.</w:t>
      </w:r>
      <w:r w:rsidR="00577D26">
        <w:t>,</w:t>
      </w:r>
      <w:r>
        <w:t xml:space="preserve"> ve znění vyhlášky č. </w:t>
      </w:r>
      <w:r w:rsidR="000E3107">
        <w:t>436</w:t>
      </w:r>
      <w:r>
        <w:t>/2012</w:t>
      </w:r>
      <w:r w:rsidR="00577D26">
        <w:t xml:space="preserve"> Sb.</w:t>
      </w:r>
      <w:r>
        <w:t>, nebo nastavit postup při přerušení „na zelené louce“. S ohledem na skutečnosti uvedené v</w:t>
      </w:r>
      <w:r w:rsidR="00577D26">
        <w:t> </w:t>
      </w:r>
      <w:r>
        <w:t>bodě</w:t>
      </w:r>
      <w:r w:rsidR="00577D26">
        <w:t xml:space="preserve"> 2.5.1</w:t>
      </w:r>
      <w:r>
        <w:t xml:space="preserve"> není prostřednictvím vyhlášky možné vyřešit </w:t>
      </w:r>
      <w:r w:rsidR="000E3107">
        <w:t xml:space="preserve">konsekvenční </w:t>
      </w:r>
      <w:r>
        <w:t>nedokonalosti energetického zákona.</w:t>
      </w:r>
    </w:p>
    <w:p w:rsidR="002A0B97" w:rsidRDefault="002A0B97" w:rsidP="002A0B97">
      <w:r>
        <w:t xml:space="preserve">Tato varianta je vzhledem ke skutečnosti, že nebyla předmětem veřejného konzultačního procesu, nerealizovatelná. Energetický regulační úřad má </w:t>
      </w:r>
      <w:r w:rsidR="000E3107">
        <w:t xml:space="preserve">však </w:t>
      </w:r>
      <w:r>
        <w:t xml:space="preserve">zájem problematiku řešit na dlouhodobě stabilní bázi, proto dá možnost vyjádřit se k dané problematice prostřednictvím </w:t>
      </w:r>
      <w:r w:rsidR="0023294D">
        <w:t>samostatného</w:t>
      </w:r>
      <w:r w:rsidR="000E3107">
        <w:t xml:space="preserve"> </w:t>
      </w:r>
      <w:r>
        <w:t xml:space="preserve">veřejného konzultačního procesu, kdy je nezbytný konstruktivní přístup </w:t>
      </w:r>
      <w:r w:rsidR="0023294D">
        <w:t xml:space="preserve">ze strany </w:t>
      </w:r>
      <w:r>
        <w:t>účastník</w:t>
      </w:r>
      <w:r w:rsidR="0023294D">
        <w:t>ů</w:t>
      </w:r>
      <w:r>
        <w:t xml:space="preserve"> trhu s plynem</w:t>
      </w:r>
      <w:r w:rsidR="0023294D">
        <w:t>, v němž jednoznačně identifikují ideální cílový stav z pohledu své licencované činnosti</w:t>
      </w:r>
      <w:r>
        <w:t xml:space="preserve">. V případě dosažení akceptovatelného koncensu, je Energetický regulační úřad připraven zahrnout tuto úpravu do další novely vyhlášky </w:t>
      </w:r>
      <w:r w:rsidR="00BE2566">
        <w:t>o </w:t>
      </w:r>
      <w:r>
        <w:t>Pravidlech trhu s plynem.</w:t>
      </w:r>
    </w:p>
    <w:p w:rsidR="0019440F" w:rsidRDefault="0019440F" w:rsidP="0019440F">
      <w:pPr>
        <w:pStyle w:val="Nadpis4-zvren"/>
      </w:pPr>
      <w:r>
        <w:t xml:space="preserve">Vyhodnocení nákladů </w:t>
      </w:r>
      <w:r w:rsidR="007E62B0">
        <w:t>a </w:t>
      </w:r>
      <w:r>
        <w:t>přínosů</w:t>
      </w:r>
    </w:p>
    <w:p w:rsidR="000E3107" w:rsidRDefault="0023294D" w:rsidP="000E3107">
      <w:r>
        <w:t>Zvolená varianta představuje úpravu vycházející z praktických možností provozovatelů distribučních soustav. Vzhledem ke skutečnosti, že iniciátorem přerušení je neoprávněný odběr plynu ze strany zákazníka způsobený opakovaným neplněním smluvních platebních povinností, má navržená úprava marginální dopad na dodavatele plynu.</w:t>
      </w:r>
    </w:p>
    <w:p w:rsidR="0019440F" w:rsidRDefault="0019440F" w:rsidP="0019440F">
      <w:pPr>
        <w:pStyle w:val="Nadpis4-zvren"/>
      </w:pPr>
      <w:r>
        <w:t xml:space="preserve">Vyhodnocení nákladů </w:t>
      </w:r>
      <w:r w:rsidR="007E62B0">
        <w:t>a </w:t>
      </w:r>
      <w:r>
        <w:t>přínosů variant</w:t>
      </w:r>
    </w:p>
    <w:p w:rsidR="0019440F" w:rsidRDefault="0019440F" w:rsidP="0019440F">
      <w:pPr>
        <w:pStyle w:val="Nadpis4-zvren"/>
      </w:pPr>
      <w:r>
        <w:t>Návrh řešení</w:t>
      </w:r>
    </w:p>
    <w:p w:rsidR="0019440F" w:rsidRDefault="0019440F" w:rsidP="0019440F">
      <w:pPr>
        <w:pStyle w:val="Nadpis5-zvren"/>
      </w:pPr>
      <w:r>
        <w:t xml:space="preserve">Stanovení pořadí variant </w:t>
      </w:r>
      <w:r w:rsidR="007E62B0">
        <w:t>a </w:t>
      </w:r>
      <w:r>
        <w:t>výběr nejvhodnějšího řešení</w:t>
      </w:r>
    </w:p>
    <w:p w:rsidR="0019440F" w:rsidRDefault="0019440F" w:rsidP="0019440F">
      <w:pPr>
        <w:pStyle w:val="Nadpis4-zvren"/>
      </w:pPr>
      <w:r>
        <w:t xml:space="preserve">Implementace doporučené varianty </w:t>
      </w:r>
      <w:r w:rsidR="007E62B0">
        <w:t>a </w:t>
      </w:r>
      <w:r>
        <w:t>vynucování</w:t>
      </w:r>
    </w:p>
    <w:p w:rsidR="0019440F" w:rsidRDefault="0019440F" w:rsidP="0019440F">
      <w:pPr>
        <w:pStyle w:val="Nadpis4-zvren"/>
      </w:pPr>
      <w:r>
        <w:t>Přezkum účinnosti regulace</w:t>
      </w:r>
    </w:p>
    <w:p w:rsidR="0023294D" w:rsidRDefault="0023294D" w:rsidP="0023294D">
      <w:r>
        <w:t>Energetický regulační úřad nepovažuje touto úpravou problematiku za uzavřenou. V souladu s výše uvedeným bude probíhat veřejný konzultační proces zaměřený pouze na tuto problematiku</w:t>
      </w:r>
      <w:r w:rsidR="00233672">
        <w:t>, jehož cílem je nalézt kompromisní stabilní nastavení těchto postupů.</w:t>
      </w:r>
    </w:p>
    <w:p w:rsidR="002A0B97" w:rsidRDefault="0019440F" w:rsidP="0019440F">
      <w:pPr>
        <w:pStyle w:val="Nadpis4-zvren"/>
      </w:pPr>
      <w:r>
        <w:t xml:space="preserve">Konzultace </w:t>
      </w:r>
      <w:r w:rsidR="007E62B0">
        <w:t>a </w:t>
      </w:r>
      <w:r>
        <w:t>zdroje dat</w:t>
      </w:r>
    </w:p>
    <w:p w:rsidR="00B31A0A" w:rsidRDefault="00B31A0A" w:rsidP="00B31A0A">
      <w:pPr>
        <w:pStyle w:val="Odstavecseseznamem"/>
        <w:numPr>
          <w:ilvl w:val="0"/>
          <w:numId w:val="16"/>
        </w:numPr>
      </w:pPr>
      <w:r>
        <w:t>Veřejný konzultační proces k návrhu novely vyhlášky č. 349/2015 Sb.</w:t>
      </w:r>
    </w:p>
    <w:p w:rsidR="00B31A0A" w:rsidRDefault="00B31A0A" w:rsidP="00B31A0A">
      <w:pPr>
        <w:pStyle w:val="Odstavecseseznamem"/>
        <w:numPr>
          <w:ilvl w:val="0"/>
          <w:numId w:val="16"/>
        </w:numPr>
      </w:pPr>
      <w:r>
        <w:t>Jednání s účastníky trhu s plynem</w:t>
      </w:r>
    </w:p>
    <w:p w:rsidR="0050123E" w:rsidRDefault="00B31A0A" w:rsidP="00B31A0A">
      <w:pPr>
        <w:pStyle w:val="Odstavecseseznamem"/>
        <w:numPr>
          <w:ilvl w:val="0"/>
          <w:numId w:val="16"/>
        </w:numPr>
      </w:pPr>
      <w:r>
        <w:t>Podněty řešené v rámci úřední činnosti Úřadu</w:t>
      </w:r>
      <w:r w:rsidR="0050123E">
        <w:br w:type="page"/>
      </w:r>
    </w:p>
    <w:p w:rsidR="00481523" w:rsidRDefault="00282F2E" w:rsidP="00282F2E">
      <w:pPr>
        <w:pStyle w:val="IDPROBLEM"/>
      </w:pPr>
      <w:r>
        <w:t xml:space="preserve">Úprava postupu pro přístup </w:t>
      </w:r>
      <w:r w:rsidR="00A7035F">
        <w:t>z/</w:t>
      </w:r>
      <w:r>
        <w:t>do zásobníku plynu</w:t>
      </w:r>
      <w:r w:rsidR="00FF4D9C">
        <w:t xml:space="preserve"> ze</w:t>
      </w:r>
      <w:r w:rsidR="00A7035F">
        <w:t>/do</w:t>
      </w:r>
      <w:r w:rsidR="00FF4D9C">
        <w:t xml:space="preserve"> zahraniční plynárenské soustavy</w:t>
      </w:r>
    </w:p>
    <w:p w:rsidR="00481523" w:rsidRDefault="00481523" w:rsidP="00481523">
      <w:pPr>
        <w:pStyle w:val="Nadpis4-zvren"/>
      </w:pPr>
      <w:r>
        <w:t>Identifikace problému</w:t>
      </w:r>
    </w:p>
    <w:p w:rsidR="00CD0390" w:rsidRDefault="00CD0390" w:rsidP="00CD0390">
      <w:r>
        <w:t xml:space="preserve">Zásobník plynu </w:t>
      </w:r>
      <w:r w:rsidR="00BE2566">
        <w:t>v </w:t>
      </w:r>
      <w:r>
        <w:t xml:space="preserve">Dolních Bojanovicích </w:t>
      </w:r>
      <w:r w:rsidR="00BE2566">
        <w:t>o </w:t>
      </w:r>
      <w:r>
        <w:t>kapacitě 576 mil. m</w:t>
      </w:r>
      <w:r w:rsidRPr="00EE6672">
        <w:rPr>
          <w:vertAlign w:val="superscript"/>
        </w:rPr>
        <w:t>3</w:t>
      </w:r>
      <w:r>
        <w:t xml:space="preserve"> je provozován společností SPP Storage, s.r.o., </w:t>
      </w:r>
      <w:r w:rsidR="00BE2566">
        <w:t>a </w:t>
      </w:r>
      <w:r>
        <w:t xml:space="preserve">je </w:t>
      </w:r>
      <w:r w:rsidR="00BE2566">
        <w:t>v </w:t>
      </w:r>
      <w:r>
        <w:t xml:space="preserve">současné době připojen pomocí vysokotlakého plynovodu DN 700 PN 80 </w:t>
      </w:r>
      <w:r w:rsidR="00BE2566">
        <w:t>k </w:t>
      </w:r>
      <w:r>
        <w:t>mezinárodní měřicí stanici Brodské, která je provozována slovenským provozovatelem přepravní soustavy společností eustream, a.s.</w:t>
      </w:r>
    </w:p>
    <w:p w:rsidR="00B838E5" w:rsidRDefault="00CD0390" w:rsidP="00CD0390">
      <w:r>
        <w:t xml:space="preserve">Provozovatel PZP Dolní Bojanovice jedná </w:t>
      </w:r>
      <w:r w:rsidR="00BE2566">
        <w:t>s </w:t>
      </w:r>
      <w:r>
        <w:t xml:space="preserve">českým provozovatelem přepravní soustavy </w:t>
      </w:r>
      <w:r w:rsidR="00BE2566">
        <w:t>o </w:t>
      </w:r>
      <w:r w:rsidR="00EE6672">
        <w:t xml:space="preserve">podmínkách </w:t>
      </w:r>
      <w:r>
        <w:t xml:space="preserve">připojení tohoto zásobníku přímo </w:t>
      </w:r>
      <w:r w:rsidR="00BE2566">
        <w:t>k </w:t>
      </w:r>
      <w:r>
        <w:t xml:space="preserve">české přepravní soustavě. Paralelně </w:t>
      </w:r>
      <w:r w:rsidR="00BE2566">
        <w:t>s </w:t>
      </w:r>
      <w:r>
        <w:t xml:space="preserve">jednáním </w:t>
      </w:r>
      <w:r w:rsidR="00BE2566">
        <w:t>o </w:t>
      </w:r>
      <w:r>
        <w:t xml:space="preserve">podmínkách vlastního připojení tohoto zásobníku </w:t>
      </w:r>
      <w:r w:rsidR="00BE2566">
        <w:t>k </w:t>
      </w:r>
      <w:r>
        <w:t xml:space="preserve">přepravní soustavě je nezbytné nastavit postupy pro přístup </w:t>
      </w:r>
      <w:r w:rsidR="00BE2566">
        <w:t>k </w:t>
      </w:r>
      <w:r>
        <w:t xml:space="preserve">zásobníku plynu, jehož prostřednictvím může docházet </w:t>
      </w:r>
      <w:r w:rsidR="00BE2566">
        <w:t>k </w:t>
      </w:r>
      <w:r>
        <w:t xml:space="preserve">předávání plynu mezi plynárenskými soustavami dvou států. </w:t>
      </w:r>
      <w:r w:rsidR="007400FA">
        <w:t xml:space="preserve">Tyto postupy se nezaměří pouze na </w:t>
      </w:r>
      <w:r w:rsidR="00C50414">
        <w:t>úpravu ve vyhlášce o Pravidlech trhu s plynem, ale musí zohlednit veškeré dopady do procesů vyplývajících z energetického zákona.</w:t>
      </w:r>
    </w:p>
    <w:p w:rsidR="00481523" w:rsidRDefault="00481523" w:rsidP="00481523">
      <w:pPr>
        <w:pStyle w:val="Nadpis4-zvren"/>
      </w:pPr>
      <w:r>
        <w:t>Návrh variant řešení</w:t>
      </w:r>
    </w:p>
    <w:p w:rsidR="00481523" w:rsidRDefault="00481523" w:rsidP="00481523">
      <w:pPr>
        <w:pStyle w:val="Varianty"/>
      </w:pPr>
      <w:r w:rsidRPr="00500755">
        <w:t>Varianta I</w:t>
      </w:r>
    </w:p>
    <w:p w:rsidR="00B838E5" w:rsidRPr="00500755" w:rsidRDefault="00B838E5" w:rsidP="00B838E5">
      <w:r>
        <w:t>Rezignovat na úpravu vyhlášky</w:t>
      </w:r>
    </w:p>
    <w:p w:rsidR="00481523" w:rsidRDefault="00481523" w:rsidP="00481523">
      <w:pPr>
        <w:pStyle w:val="Varianty"/>
      </w:pPr>
      <w:r>
        <w:t>Varianta II</w:t>
      </w:r>
    </w:p>
    <w:p w:rsidR="00B838E5" w:rsidRDefault="00073FD8" w:rsidP="00073FD8">
      <w:r>
        <w:t>Provést úpravu vyhlášky podle návrhu předkladatele v rámci veřejného konzultačního procesu. Tento návrh však představuje pouze dílčí úpravu, která nebude představovat změnu v modelu trhu s plynem, nelze tedy identifikovat přínos varianty.</w:t>
      </w:r>
    </w:p>
    <w:p w:rsidR="00481523" w:rsidRDefault="00481523" w:rsidP="00481523">
      <w:pPr>
        <w:pStyle w:val="Varianty"/>
      </w:pPr>
      <w:r>
        <w:t>Varianta III</w:t>
      </w:r>
    </w:p>
    <w:p w:rsidR="00073FD8" w:rsidRDefault="00073FD8" w:rsidP="00073FD8">
      <w:r>
        <w:t xml:space="preserve">Provést úpravu vyhlášky tak, aby byl umožněn přeshraniční přístup ke skladovací kapacitě. Energetický regulační úřad se domnívá, že je </w:t>
      </w:r>
      <w:r w:rsidR="00BE2566">
        <w:t>v </w:t>
      </w:r>
      <w:r>
        <w:t xml:space="preserve">zájmu účastníků trhu </w:t>
      </w:r>
      <w:r w:rsidR="00BE2566">
        <w:t>s </w:t>
      </w:r>
      <w:r>
        <w:t xml:space="preserve">plynem </w:t>
      </w:r>
      <w:r w:rsidR="00BE2566">
        <w:t>v </w:t>
      </w:r>
      <w:r>
        <w:t xml:space="preserve">ČR, aby na trh se skladovací kapacitou vstoupil další provozovatel zásobníku plynu. Vzhledem ke skutečnosti, že se jedná </w:t>
      </w:r>
      <w:r w:rsidR="00BE2566">
        <w:t>o </w:t>
      </w:r>
      <w:r>
        <w:t xml:space="preserve">provozovatele </w:t>
      </w:r>
      <w:r w:rsidR="00BE2566">
        <w:t>s </w:t>
      </w:r>
      <w:r>
        <w:t xml:space="preserve">licencí udělenou podle energetického zákona, vztahují se již dnes na tento subjekt povinnosti </w:t>
      </w:r>
      <w:r w:rsidR="00BE2566">
        <w:t>a </w:t>
      </w:r>
      <w:r>
        <w:t xml:space="preserve">práva vyplývající </w:t>
      </w:r>
      <w:r w:rsidR="00BE2566">
        <w:t>z </w:t>
      </w:r>
      <w:r>
        <w:t xml:space="preserve">energetického zákona. Úprava vyhlášky však musí vycházet </w:t>
      </w:r>
      <w:r w:rsidR="00BE2566">
        <w:t>z </w:t>
      </w:r>
      <w:r>
        <w:t xml:space="preserve">kompetencí daných Energetickému regulačnímu úřadu energetickým zákonem, neboť model přístupu </w:t>
      </w:r>
      <w:r w:rsidR="00BE2566">
        <w:t>k </w:t>
      </w:r>
      <w:r>
        <w:t xml:space="preserve">zahraniční plynárenské soustavě prostřednictvím zásobníku plynu nesmí být </w:t>
      </w:r>
      <w:r w:rsidR="00BE2566">
        <w:t>v </w:t>
      </w:r>
      <w:r>
        <w:t xml:space="preserve">rozporu </w:t>
      </w:r>
      <w:r w:rsidR="00BE2566">
        <w:t>s </w:t>
      </w:r>
      <w:r>
        <w:t xml:space="preserve">tímto zákonem, musí umožnit transparentní dohled nad toky plynu (fyzicky </w:t>
      </w:r>
      <w:r w:rsidR="00BE2566">
        <w:t>i </w:t>
      </w:r>
      <w:r>
        <w:t xml:space="preserve">nominačně) mezi českou </w:t>
      </w:r>
      <w:r w:rsidR="00BE2566">
        <w:t>a </w:t>
      </w:r>
      <w:r>
        <w:t>slovenskou plynárenskou soustavou.</w:t>
      </w:r>
    </w:p>
    <w:p w:rsidR="00B838E5" w:rsidRDefault="00073FD8" w:rsidP="00073FD8">
      <w:r>
        <w:t xml:space="preserve">Tato varianta je předmětem jednání mezi Energetickým regulačním úřadem, provozovatelem zásobníku plynu </w:t>
      </w:r>
      <w:r w:rsidR="00BE2566">
        <w:t>a </w:t>
      </w:r>
      <w:r>
        <w:t>provozovatelem přepravní soustavy.</w:t>
      </w:r>
    </w:p>
    <w:p w:rsidR="00481523" w:rsidRDefault="00481523" w:rsidP="00481523">
      <w:pPr>
        <w:pStyle w:val="Nadpis4-zvren"/>
      </w:pPr>
      <w:r>
        <w:t>Vyhodnocení nákladů a přínosů</w:t>
      </w:r>
    </w:p>
    <w:p w:rsidR="00481523" w:rsidRDefault="00481523" w:rsidP="00481523">
      <w:pPr>
        <w:pStyle w:val="Nadpis4-zvren"/>
      </w:pPr>
      <w:r>
        <w:t>Vyhodnocení nákladů a přínosů variant</w:t>
      </w:r>
    </w:p>
    <w:p w:rsidR="0020639B" w:rsidRDefault="00481523" w:rsidP="0020639B">
      <w:pPr>
        <w:pStyle w:val="Nadpis4-zvren"/>
      </w:pPr>
      <w:r>
        <w:t>Návrh řešení</w:t>
      </w:r>
    </w:p>
    <w:p w:rsidR="00481523" w:rsidRDefault="00481523" w:rsidP="00481523">
      <w:pPr>
        <w:pStyle w:val="Nadpis5-zvren"/>
      </w:pPr>
      <w:r>
        <w:t>Stanovení pořadí variant a výběr nejvhodnějšího řešení</w:t>
      </w:r>
    </w:p>
    <w:p w:rsidR="00073FD8" w:rsidRPr="00073FD8" w:rsidRDefault="00073FD8" w:rsidP="0020639B">
      <w:pPr>
        <w:pStyle w:val="Odstavecseseznamem"/>
        <w:numPr>
          <w:ilvl w:val="0"/>
          <w:numId w:val="20"/>
        </w:numPr>
      </w:pPr>
      <w:r w:rsidRPr="00073FD8">
        <w:t>Varianta I</w:t>
      </w:r>
    </w:p>
    <w:p w:rsidR="00073FD8" w:rsidRPr="00073FD8" w:rsidRDefault="00073FD8" w:rsidP="0020639B">
      <w:pPr>
        <w:pStyle w:val="Odstavecseseznamem"/>
        <w:numPr>
          <w:ilvl w:val="0"/>
          <w:numId w:val="20"/>
        </w:numPr>
      </w:pPr>
      <w:r w:rsidRPr="00073FD8">
        <w:t>Varianta III</w:t>
      </w:r>
    </w:p>
    <w:p w:rsidR="00073FD8" w:rsidRDefault="00073FD8" w:rsidP="0020639B">
      <w:pPr>
        <w:pStyle w:val="Odstavecseseznamem"/>
        <w:numPr>
          <w:ilvl w:val="0"/>
          <w:numId w:val="20"/>
        </w:numPr>
      </w:pPr>
      <w:r w:rsidRPr="00073FD8">
        <w:t>Varianta II</w:t>
      </w:r>
    </w:p>
    <w:p w:rsidR="00481523" w:rsidRDefault="00481523" w:rsidP="0020639B">
      <w:pPr>
        <w:pStyle w:val="Nadpis4-zvren"/>
      </w:pPr>
      <w:r>
        <w:t>Implementace doporučené varianty a vynucování</w:t>
      </w:r>
    </w:p>
    <w:p w:rsidR="00073FD8" w:rsidRDefault="00073FD8" w:rsidP="00073FD8">
      <w:r w:rsidRPr="00073FD8">
        <w:t xml:space="preserve">Vzhledem ke skutečnosti, že nejsou </w:t>
      </w:r>
      <w:r w:rsidR="00BE2566" w:rsidRPr="00073FD8">
        <w:t>v</w:t>
      </w:r>
      <w:r w:rsidR="00BE2566">
        <w:t> </w:t>
      </w:r>
      <w:r w:rsidRPr="00073FD8">
        <w:t xml:space="preserve">současné době známy podmínky připojení zásobníku plynu </w:t>
      </w:r>
      <w:r w:rsidR="00BE2566" w:rsidRPr="00073FD8">
        <w:t>k</w:t>
      </w:r>
      <w:r w:rsidR="00BE2566">
        <w:t> </w:t>
      </w:r>
      <w:r w:rsidRPr="00073FD8">
        <w:t xml:space="preserve">přepravní soustavě, tedy technický model, </w:t>
      </w:r>
      <w:r w:rsidR="00BE2566" w:rsidRPr="00073FD8">
        <w:t>a</w:t>
      </w:r>
      <w:r w:rsidR="00BE2566">
        <w:t> </w:t>
      </w:r>
      <w:r w:rsidR="00BE2566" w:rsidRPr="00073FD8">
        <w:t>v</w:t>
      </w:r>
      <w:r w:rsidR="00BE2566">
        <w:t> </w:t>
      </w:r>
      <w:r w:rsidRPr="00073FD8">
        <w:t xml:space="preserve">případě varianty III existuje řada nevyřešených otázek, </w:t>
      </w:r>
      <w:r w:rsidR="00BE2566" w:rsidRPr="00073FD8">
        <w:t>a</w:t>
      </w:r>
      <w:r w:rsidR="00BE2566">
        <w:t> </w:t>
      </w:r>
      <w:r w:rsidRPr="00073FD8">
        <w:t xml:space="preserve">vzhledem </w:t>
      </w:r>
      <w:r w:rsidR="00BE2566" w:rsidRPr="00073FD8">
        <w:t>k</w:t>
      </w:r>
      <w:r w:rsidR="00BE2566">
        <w:t> </w:t>
      </w:r>
      <w:r w:rsidRPr="00073FD8">
        <w:t xml:space="preserve">tomu, že varianta II nepřináší žádný přínos pro trh </w:t>
      </w:r>
      <w:r w:rsidR="00BE2566" w:rsidRPr="00073FD8">
        <w:t>s</w:t>
      </w:r>
      <w:r w:rsidR="00BE2566">
        <w:t> </w:t>
      </w:r>
      <w:r w:rsidRPr="00073FD8">
        <w:t xml:space="preserve">plynem </w:t>
      </w:r>
      <w:r w:rsidR="00BE2566" w:rsidRPr="00073FD8">
        <w:t>v</w:t>
      </w:r>
      <w:r w:rsidR="003E0D86">
        <w:t> </w:t>
      </w:r>
      <w:r w:rsidRPr="00073FD8">
        <w:t>ČR</w:t>
      </w:r>
      <w:r w:rsidR="003E0D86">
        <w:t>, je možné</w:t>
      </w:r>
      <w:r w:rsidRPr="00073FD8">
        <w:t xml:space="preserve"> postupovat pouze variantou I.</w:t>
      </w:r>
    </w:p>
    <w:p w:rsidR="00481523" w:rsidRDefault="00481523" w:rsidP="00481523">
      <w:pPr>
        <w:pStyle w:val="Nadpis4-zvren"/>
      </w:pPr>
      <w:r>
        <w:t>Přezkum účinnosti regulace</w:t>
      </w:r>
    </w:p>
    <w:p w:rsidR="00B838E5" w:rsidRDefault="00B838E5" w:rsidP="00B838E5">
      <w:r>
        <w:t xml:space="preserve">Energetický regulační úřad se na základě </w:t>
      </w:r>
      <w:r w:rsidR="003E0D86">
        <w:t>výkladu</w:t>
      </w:r>
      <w:r>
        <w:t xml:space="preserve"> energetického zákona domnívá, že tento klíčový zákon pro výkon státní správy v energetice, nedává Energetickému regulačnímu úřadu dostatečné kompetence k tomu, aby ve vyhlášce </w:t>
      </w:r>
      <w:r w:rsidR="00BE2566">
        <w:t>o </w:t>
      </w:r>
      <w:r>
        <w:t xml:space="preserve">Pravidlech trhu s plynem upravil přeshraniční využívání zásobníku plynu. Nastavení těchto pravidel musí vycházet z technického modelu, který nebude v rozporu s energetickým zákonem, bude na základě zmocnění </w:t>
      </w:r>
      <w:r w:rsidR="00BE2566">
        <w:t>a </w:t>
      </w:r>
      <w:r>
        <w:t xml:space="preserve">kompetencí daných tímto zákonem proveditelný </w:t>
      </w:r>
      <w:r w:rsidR="00BE2566">
        <w:t>a </w:t>
      </w:r>
      <w:r>
        <w:t xml:space="preserve">bude odsouhlasen provozovatelem přepravní soustavy </w:t>
      </w:r>
      <w:r w:rsidR="00BE2566">
        <w:t>a </w:t>
      </w:r>
      <w:r>
        <w:t xml:space="preserve">provozovatelem zásobníku plynu. Energetický regulační úřad se domnívá, že tyto nezbytné podmínky nebyly splněny. </w:t>
      </w:r>
    </w:p>
    <w:p w:rsidR="00B838E5" w:rsidRDefault="00B838E5" w:rsidP="00972511">
      <w:r>
        <w:t xml:space="preserve">Vzhledem ke skutečnosti, že Energetický regulační úřad podporuje rozšíření trhu se skladovací kapacitou </w:t>
      </w:r>
      <w:r w:rsidR="00BE2566">
        <w:t>o </w:t>
      </w:r>
      <w:r>
        <w:t xml:space="preserve">další subjekt, je připraven s dotčenými subjekty dále jednat </w:t>
      </w:r>
      <w:r w:rsidR="00BE2566">
        <w:t>a </w:t>
      </w:r>
      <w:r>
        <w:t>v rámci svých kompetencí přispět k nalezení dlouhodobě stabilního řešení.</w:t>
      </w:r>
    </w:p>
    <w:p w:rsidR="00B838E5" w:rsidRDefault="00481523" w:rsidP="00481523">
      <w:pPr>
        <w:pStyle w:val="Nadpis4-zvren"/>
      </w:pPr>
      <w:r>
        <w:t>Konzultace a zdroje dat</w:t>
      </w:r>
    </w:p>
    <w:p w:rsidR="00B838E5" w:rsidRDefault="00B838E5" w:rsidP="00B838E5">
      <w:pPr>
        <w:pStyle w:val="Odstavecseseznamem"/>
        <w:numPr>
          <w:ilvl w:val="0"/>
          <w:numId w:val="11"/>
        </w:numPr>
      </w:pPr>
      <w:r>
        <w:t>Veřejný konzultační proces k</w:t>
      </w:r>
      <w:r w:rsidR="003E0D86">
        <w:t> návrhu novely</w:t>
      </w:r>
      <w:r>
        <w:t xml:space="preserve"> vyhlášky č. 349/2015 Sb.</w:t>
      </w:r>
    </w:p>
    <w:p w:rsidR="00B838E5" w:rsidRDefault="00B838E5" w:rsidP="00B838E5">
      <w:pPr>
        <w:pStyle w:val="Odstavecseseznamem"/>
        <w:numPr>
          <w:ilvl w:val="0"/>
          <w:numId w:val="11"/>
        </w:numPr>
      </w:pPr>
      <w:r>
        <w:t xml:space="preserve">Dvoustranná jednání s provozovatelem přepravní soustavy </w:t>
      </w:r>
      <w:r w:rsidR="00BE2566">
        <w:t>a </w:t>
      </w:r>
      <w:r>
        <w:t>provozovatelem zásobníku plynu</w:t>
      </w:r>
    </w:p>
    <w:p w:rsidR="00BE7756" w:rsidRDefault="00A071AF" w:rsidP="00405448">
      <w:pPr>
        <w:pStyle w:val="Odstavecseseznamem"/>
        <w:numPr>
          <w:ilvl w:val="0"/>
          <w:numId w:val="11"/>
        </w:numPr>
        <w:spacing w:after="0"/>
        <w:ind w:left="357" w:hanging="357"/>
      </w:pPr>
      <w:r>
        <w:t xml:space="preserve">Prevádzkový poriadok ustanovujúci obchodné podmienky pre prístup a  využívanie zásobníka spoločnosti nafta a.s. </w:t>
      </w:r>
    </w:p>
    <w:p w:rsidR="00A071AF" w:rsidRDefault="00A071AF" w:rsidP="00405448">
      <w:pPr>
        <w:spacing w:before="0" w:after="0"/>
        <w:ind w:left="425"/>
      </w:pPr>
      <w:r>
        <w:t>(</w:t>
      </w:r>
      <w:r w:rsidRPr="00A071AF">
        <w:t>http://www.nafta.sk/sites/default/files/u22/2015.03.30_prevadzkovy_poriadok.pdf</w:t>
      </w:r>
      <w:r>
        <w:t>)</w:t>
      </w:r>
    </w:p>
    <w:p w:rsidR="00B838E5" w:rsidRDefault="00B838E5" w:rsidP="00405448">
      <w:pPr>
        <w:pStyle w:val="Odstavecseseznamem"/>
        <w:numPr>
          <w:ilvl w:val="0"/>
          <w:numId w:val="11"/>
        </w:numPr>
        <w:spacing w:before="0"/>
        <w:ind w:left="357" w:hanging="357"/>
      </w:pPr>
      <w:r>
        <w:t>Federal Act Providing New Rules for the Natural Gas Sector (Gaswirtschaftsgesetz [Natural Gas Act] 2011) (</w:t>
      </w:r>
      <w:hyperlink r:id="rId14" w:history="1">
        <w:r w:rsidRPr="0079076C">
          <w:rPr>
            <w:rStyle w:val="Hypertextovodkaz"/>
          </w:rPr>
          <w:t>https://www.e-control.at/documents/20903/-/-/22a8972f-c195-466b-b97f-746e72ebd4b1</w:t>
        </w:r>
      </w:hyperlink>
      <w:r>
        <w:t xml:space="preserve">) </w:t>
      </w:r>
    </w:p>
    <w:p w:rsidR="00B838E5" w:rsidRDefault="00B838E5" w:rsidP="00B838E5">
      <w:pPr>
        <w:pStyle w:val="Odstavecseseznamem"/>
        <w:numPr>
          <w:ilvl w:val="0"/>
          <w:numId w:val="11"/>
        </w:numPr>
      </w:pPr>
      <w:r w:rsidRPr="00CA5EDF">
        <w:t>EU strategy for LNG and gas storage</w:t>
      </w:r>
    </w:p>
    <w:p w:rsidR="00481523" w:rsidRDefault="0050123E" w:rsidP="00B838E5">
      <w:r>
        <w:br w:type="page"/>
      </w:r>
    </w:p>
    <w:p w:rsidR="00CD7EBA" w:rsidRDefault="007F462D" w:rsidP="007F462D">
      <w:pPr>
        <w:pStyle w:val="Nadpis3-zvren"/>
        <w:numPr>
          <w:ilvl w:val="0"/>
          <w:numId w:val="3"/>
        </w:numPr>
      </w:pPr>
      <w:r>
        <w:t xml:space="preserve">Kontakty </w:t>
      </w:r>
      <w:r w:rsidR="007E62B0">
        <w:t>a </w:t>
      </w:r>
      <w:r>
        <w:t xml:space="preserve">prohlášení </w:t>
      </w:r>
      <w:r w:rsidR="007E62B0">
        <w:t>o </w:t>
      </w:r>
      <w:r>
        <w:t>schválení RIA</w:t>
      </w:r>
    </w:p>
    <w:p w:rsidR="00FB3C16" w:rsidRPr="00D76DF5" w:rsidRDefault="00BC519E" w:rsidP="00CD7EBA">
      <w:r>
        <w:t>[Pro MPŘ a LRV bude doplněno]</w:t>
      </w:r>
    </w:p>
    <w:p w:rsidR="008F282A" w:rsidRDefault="008F282A" w:rsidP="00CD7EBA">
      <w:r>
        <w:br w:type="page"/>
      </w:r>
    </w:p>
    <w:p w:rsidR="00662A6B" w:rsidRPr="00662A6B" w:rsidRDefault="00662A6B" w:rsidP="00972511">
      <w:pPr>
        <w:pStyle w:val="Nadpis1"/>
      </w:pPr>
      <w:r w:rsidRPr="00662A6B">
        <w:t>Zvláštní část</w:t>
      </w:r>
    </w:p>
    <w:p w:rsidR="00AC3712" w:rsidRDefault="00AC3712" w:rsidP="00901D0C">
      <w:pPr>
        <w:pStyle w:val="Ustanoven"/>
      </w:pPr>
      <w:r>
        <w:t xml:space="preserve">§ </w:t>
      </w:r>
      <w:r w:rsidR="007E62B0">
        <w:t>2 </w:t>
      </w:r>
      <w:r>
        <w:t xml:space="preserve">odst. </w:t>
      </w:r>
      <w:r w:rsidR="007E62B0">
        <w:t>1 </w:t>
      </w:r>
      <w:r>
        <w:t>písm. j)</w:t>
      </w:r>
      <w:r w:rsidR="001014F9">
        <w:t xml:space="preserve"> </w:t>
      </w:r>
      <w:r w:rsidR="00BE2566">
        <w:t>a </w:t>
      </w:r>
      <w:r w:rsidR="001014F9">
        <w:t xml:space="preserve">odst. </w:t>
      </w:r>
      <w:r w:rsidR="00BE2566">
        <w:t>2 </w:t>
      </w:r>
      <w:r w:rsidR="001014F9">
        <w:t>písm. d)</w:t>
      </w:r>
      <w:r w:rsidR="00E32830" w:rsidRPr="00E32830">
        <w:t xml:space="preserve"> </w:t>
      </w:r>
    </w:p>
    <w:p w:rsidR="004B1E9A" w:rsidRDefault="00AC3712" w:rsidP="00486323">
      <w:r>
        <w:t>Úprava přesněji specifikuje hraniční bod</w:t>
      </w:r>
      <w:r w:rsidR="00D05251">
        <w:t xml:space="preserve"> </w:t>
      </w:r>
      <w:r w:rsidR="00BE2566">
        <w:t>a </w:t>
      </w:r>
      <w:r w:rsidR="00D05251">
        <w:t>přeshraniční plynovod</w:t>
      </w:r>
      <w:r>
        <w:t xml:space="preserve"> tak, aby byl</w:t>
      </w:r>
      <w:r w:rsidR="00D05251">
        <w:t>o rozlišováno místo připojení do české plynárenské soustavy</w:t>
      </w:r>
      <w:r>
        <w:t>.</w:t>
      </w:r>
      <w:r w:rsidR="004B1E9A">
        <w:t xml:space="preserve"> </w:t>
      </w:r>
    </w:p>
    <w:p w:rsidR="00662A6B" w:rsidRPr="00F53935" w:rsidRDefault="00662A6B" w:rsidP="00901D0C">
      <w:pPr>
        <w:pStyle w:val="Ustanoven"/>
      </w:pPr>
      <w:r w:rsidRPr="00F53935">
        <w:t xml:space="preserve">§ </w:t>
      </w:r>
      <w:r w:rsidR="00BE2566" w:rsidRPr="00F53935">
        <w:t>6</w:t>
      </w:r>
      <w:r w:rsidR="00BE2566">
        <w:t> </w:t>
      </w:r>
      <w:r w:rsidRPr="00F53935">
        <w:t>odst. 1</w:t>
      </w:r>
      <w:r w:rsidR="00FB45A7" w:rsidRPr="00F53935">
        <w:t xml:space="preserve">, § </w:t>
      </w:r>
      <w:r w:rsidR="00BE2566" w:rsidRPr="00F53935">
        <w:t>8</w:t>
      </w:r>
      <w:r w:rsidR="00BE2566">
        <w:t> </w:t>
      </w:r>
      <w:r w:rsidR="00FB45A7" w:rsidRPr="00F53935">
        <w:t>odst. 1</w:t>
      </w:r>
      <w:r w:rsidR="0085644B" w:rsidRPr="00F53935">
        <w:t xml:space="preserve">, </w:t>
      </w:r>
      <w:r w:rsidR="00CC740C" w:rsidRPr="00F53935">
        <w:t xml:space="preserve">§ </w:t>
      </w:r>
      <w:r w:rsidR="00BE2566" w:rsidRPr="00F53935">
        <w:t>9</w:t>
      </w:r>
      <w:r w:rsidR="00BE2566">
        <w:t> </w:t>
      </w:r>
      <w:r w:rsidR="00CC740C" w:rsidRPr="00F53935">
        <w:t xml:space="preserve">odst. 1, § 10 odst. 2, § 11 odst. 2, </w:t>
      </w:r>
      <w:r w:rsidR="006405D8">
        <w:t xml:space="preserve">§ 14 odst. 1, </w:t>
      </w:r>
      <w:r w:rsidR="00CC740C" w:rsidRPr="00F53935">
        <w:t>§ 15 odst. 1, § 15 odst. 3, § 16 odst. 1, § 16 odst. 2, § 17 odst. 1, § 17 odst. 2</w:t>
      </w:r>
    </w:p>
    <w:p w:rsidR="00662A6B" w:rsidRDefault="009E21AE" w:rsidP="00486323">
      <w:r>
        <w:t>Legislativní zpřesnění související s úpravou Části čtvrté. Na základě úpravy bude</w:t>
      </w:r>
      <w:r w:rsidR="00FB45A7">
        <w:t xml:space="preserve"> </w:t>
      </w:r>
      <w:r w:rsidR="00C90DAC">
        <w:t>moci</w:t>
      </w:r>
      <w:r w:rsidR="00FB45A7">
        <w:t xml:space="preserve"> přepravu pro bod virtuálního zásobníku plynu</w:t>
      </w:r>
      <w:r w:rsidR="00CC740C">
        <w:t xml:space="preserve"> sjednávat</w:t>
      </w:r>
      <w:r w:rsidR="00FB45A7">
        <w:t xml:space="preserve"> </w:t>
      </w:r>
      <w:r w:rsidR="00BE2566">
        <w:t>i </w:t>
      </w:r>
      <w:r w:rsidR="00FB45A7">
        <w:t>provozovatel zásobníku plynu.</w:t>
      </w:r>
      <w:r w:rsidR="00C90DAC">
        <w:t xml:space="preserve"> Požadavek na sjednávání přepravy provozovateli zásobníku plynu vyplynul z veřejného konzultačního procesu </w:t>
      </w:r>
      <w:r w:rsidR="00BE2566">
        <w:t>a </w:t>
      </w:r>
      <w:r w:rsidR="00C90DAC">
        <w:t xml:space="preserve">reflektuje snahu </w:t>
      </w:r>
      <w:r w:rsidR="00BE2566">
        <w:t>o </w:t>
      </w:r>
      <w:r w:rsidR="00C90DAC">
        <w:t>zatraktivnění zásobníků plynu na území ČR.</w:t>
      </w:r>
    </w:p>
    <w:p w:rsidR="00F53935" w:rsidRPr="00F53935" w:rsidRDefault="00CC740C" w:rsidP="00901D0C">
      <w:pPr>
        <w:pStyle w:val="Ustanoven"/>
      </w:pPr>
      <w:r w:rsidRPr="00F53935">
        <w:t>§ 10 odst. 4</w:t>
      </w:r>
      <w:r w:rsidR="00F53935" w:rsidRPr="00F53935">
        <w:t>,</w:t>
      </w:r>
      <w:r w:rsidR="003B7DCF">
        <w:t xml:space="preserve"> </w:t>
      </w:r>
      <w:r w:rsidR="00F53935" w:rsidRPr="00F53935">
        <w:t>14 odst. 2</w:t>
      </w:r>
    </w:p>
    <w:p w:rsidR="0017478C" w:rsidRDefault="00826DAC" w:rsidP="0017478C">
      <w:r w:rsidRPr="0017478C">
        <w:t xml:space="preserve">Souvisí s úpravou postupů pro přístup k zásobníkům plynu, viz bod </w:t>
      </w:r>
      <w:r w:rsidRPr="007D6234">
        <w:t>2.</w:t>
      </w:r>
      <w:r w:rsidR="007D6234" w:rsidRPr="007D6234">
        <w:t>3</w:t>
      </w:r>
      <w:r w:rsidRPr="007D6234">
        <w:t>. Současně</w:t>
      </w:r>
      <w:r w:rsidRPr="0017478C">
        <w:t xml:space="preserve"> řeší také nedostatek současné úpravy, kdy dochází k rezervaci přepravní kapacity na bodě virtuálního zásobníku jiným subjektem zúčtování</w:t>
      </w:r>
      <w:r w:rsidR="001E2824" w:rsidRPr="0017478C">
        <w:t xml:space="preserve"> </w:t>
      </w:r>
      <w:r w:rsidR="00BE2566" w:rsidRPr="0017478C">
        <w:t>a </w:t>
      </w:r>
      <w:r w:rsidR="001E2824" w:rsidRPr="0017478C">
        <w:t>v jiné výši</w:t>
      </w:r>
      <w:r w:rsidRPr="0017478C">
        <w:t xml:space="preserve"> než který má rezervovanou skladovací kapacitu</w:t>
      </w:r>
      <w:r w:rsidR="003B7DCF" w:rsidRPr="0017478C">
        <w:t>.</w:t>
      </w:r>
      <w:r w:rsidRPr="0017478C">
        <w:t xml:space="preserve"> Dochází tak k situacím, kdy je krácena přerušitelná skladovací kapacita jiným subjektům, než kterým je krácena přerušitelná přepravní kapacita, </w:t>
      </w:r>
      <w:r w:rsidR="00BE2566" w:rsidRPr="0017478C">
        <w:t>a </w:t>
      </w:r>
      <w:r w:rsidRPr="0017478C">
        <w:t>až poté dochází k vzájemnému matchingu</w:t>
      </w:r>
      <w:r w:rsidR="00D242F8">
        <w:t xml:space="preserve"> (sesouhlasení)</w:t>
      </w:r>
      <w:r w:rsidRPr="0017478C">
        <w:t xml:space="preserve"> mezi nominacemi přepravy </w:t>
      </w:r>
      <w:r w:rsidR="00BE2566" w:rsidRPr="0017478C">
        <w:t>a </w:t>
      </w:r>
      <w:r w:rsidRPr="0017478C">
        <w:t>uskladňování. Navrhovaná úprava spolu s bod</w:t>
      </w:r>
      <w:r w:rsidR="00901D0C" w:rsidRPr="0017478C">
        <w:t>y</w:t>
      </w:r>
      <w:r w:rsidRPr="0017478C">
        <w:t xml:space="preserve"> </w:t>
      </w:r>
      <w:r w:rsidR="00901D0C" w:rsidRPr="0017478C">
        <w:t xml:space="preserve">§ 65 odst. 2, § 67 odst. 3, § 70 odst. 5, § 71 odst. </w:t>
      </w:r>
      <w:r w:rsidR="00887BB8" w:rsidRPr="0017478C">
        <w:t>4</w:t>
      </w:r>
      <w:r w:rsidR="00887BB8">
        <w:t> </w:t>
      </w:r>
      <w:r w:rsidR="001D1D77" w:rsidRPr="0017478C">
        <w:t xml:space="preserve">toto </w:t>
      </w:r>
      <w:r w:rsidRPr="0017478C">
        <w:t>řeší.</w:t>
      </w:r>
    </w:p>
    <w:p w:rsidR="00CC740C" w:rsidRPr="00F53935" w:rsidRDefault="00CC740C" w:rsidP="00901D0C">
      <w:pPr>
        <w:pStyle w:val="Ustanoven"/>
      </w:pPr>
      <w:r w:rsidRPr="0017478C">
        <w:t>§ 18 odst. 4</w:t>
      </w:r>
      <w:r w:rsidR="0071642D" w:rsidRPr="0017478C">
        <w:t>,</w:t>
      </w:r>
      <w:r w:rsidR="0071642D" w:rsidRPr="00F53935">
        <w:t xml:space="preserve"> § 32 odst. </w:t>
      </w:r>
      <w:r w:rsidR="00BE2566" w:rsidRPr="00F53935">
        <w:t>1</w:t>
      </w:r>
      <w:r w:rsidR="00BE2566">
        <w:t> </w:t>
      </w:r>
      <w:r w:rsidR="0071642D" w:rsidRPr="00F53935">
        <w:t>písm. e)</w:t>
      </w:r>
    </w:p>
    <w:p w:rsidR="00CC740C" w:rsidRDefault="00CC740C" w:rsidP="00486323">
      <w:r>
        <w:t>Změ</w:t>
      </w:r>
      <w:r w:rsidR="0071642D">
        <w:t xml:space="preserve">na konkretizuje, </w:t>
      </w:r>
      <w:r w:rsidR="00BE2566">
        <w:t>o </w:t>
      </w:r>
      <w:r w:rsidR="0071642D">
        <w:t>jakého provozovatele se jedná.</w:t>
      </w:r>
    </w:p>
    <w:p w:rsidR="005D6670" w:rsidRPr="005D6670" w:rsidRDefault="005D6670" w:rsidP="00901D0C">
      <w:pPr>
        <w:pStyle w:val="Ustanoven"/>
      </w:pPr>
      <w:r w:rsidRPr="005D6670">
        <w:t>§ 22 odst. 1</w:t>
      </w:r>
    </w:p>
    <w:p w:rsidR="0071642D" w:rsidRDefault="0071642D" w:rsidP="00486323">
      <w:r>
        <w:t>Stylistická úprava.</w:t>
      </w:r>
    </w:p>
    <w:p w:rsidR="0071642D" w:rsidRPr="00F53935" w:rsidRDefault="00D646C0" w:rsidP="00901D0C">
      <w:pPr>
        <w:pStyle w:val="Ustanoven"/>
      </w:pPr>
      <w:r w:rsidRPr="00F53935">
        <w:t xml:space="preserve">§ 30 </w:t>
      </w:r>
      <w:r w:rsidR="00887BB8">
        <w:t>a </w:t>
      </w:r>
      <w:r w:rsidRPr="00F53935">
        <w:t xml:space="preserve">30a </w:t>
      </w:r>
    </w:p>
    <w:p w:rsidR="00BD43D3" w:rsidRDefault="00D57715" w:rsidP="00901D0C">
      <w:r>
        <w:t>Úprava souvisí s bodem 2.4. Dochází k úpravě postupů při nedostatku přepravní kapacity</w:t>
      </w:r>
      <w:r w:rsidR="00D5413B">
        <w:t xml:space="preserve"> v souladu s nařízením </w:t>
      </w:r>
      <w:r w:rsidR="0017478C">
        <w:t xml:space="preserve">Evropského parlamentu </w:t>
      </w:r>
      <w:r w:rsidR="00887BB8">
        <w:t>a </w:t>
      </w:r>
      <w:r w:rsidR="0017478C">
        <w:t xml:space="preserve">Rady (ES) č. </w:t>
      </w:r>
      <w:r w:rsidR="00D5413B">
        <w:t>715/2009</w:t>
      </w:r>
      <w:r w:rsidR="0017478C">
        <w:t xml:space="preserve"> ze dne 13. července 2009 </w:t>
      </w:r>
      <w:r w:rsidR="00887BB8">
        <w:t>o </w:t>
      </w:r>
      <w:r w:rsidR="0017478C">
        <w:t xml:space="preserve">podmínkách přístupu k plynárenským přepravním soustavám </w:t>
      </w:r>
      <w:r w:rsidR="00887BB8">
        <w:t>a o </w:t>
      </w:r>
      <w:r w:rsidR="0017478C">
        <w:t xml:space="preserve">zrušení nařízení (ES) č. 1775/2005 </w:t>
      </w:r>
      <w:r w:rsidR="00CB18AE">
        <w:t xml:space="preserve">ve znění rozhodnutí Komise ze dne 24. srpna 2012 </w:t>
      </w:r>
      <w:r w:rsidR="00CB18AE">
        <w:rPr>
          <w:color w:val="000000"/>
        </w:rPr>
        <w:t>o změně přílohy I nařízení Evropského parlamentu a Rady (ES) č. 715/2009 o podmínkách přístupu k plynárenským přepravním soustavám (2012/490/EU)</w:t>
      </w:r>
      <w:r w:rsidR="0017478C">
        <w:t>.</w:t>
      </w:r>
    </w:p>
    <w:p w:rsidR="00486323" w:rsidRDefault="00486323" w:rsidP="00AA095D">
      <w:pPr>
        <w:pStyle w:val="Ustanoven"/>
      </w:pPr>
      <w:r>
        <w:t xml:space="preserve">§ 35 odst. </w:t>
      </w:r>
      <w:r w:rsidR="007E62B0">
        <w:t>5 </w:t>
      </w:r>
    </w:p>
    <w:p w:rsidR="00486323" w:rsidRDefault="00486323" w:rsidP="00AA095D">
      <w:r>
        <w:t xml:space="preserve">Úprava dává obchodníkovi s plynem možnost požádat provozovatele distribuční soustavy </w:t>
      </w:r>
      <w:r w:rsidR="007E62B0">
        <w:t>o </w:t>
      </w:r>
      <w:r>
        <w:t xml:space="preserve">zaslání elektronické faktury prostřednictvím systému operátora trhu. Tímto opatřením dojde k úpravě stavu, kde je v současné době v případě některých provozovatelů distribučních soustav s ohledem na větší počet odběrných míst nemožné </w:t>
      </w:r>
      <w:r w:rsidR="00AA095D">
        <w:t>v termínech splatnosti provést kontrolu faktury zaslané v papírové podobě.</w:t>
      </w:r>
      <w:r w:rsidR="00A56324">
        <w:t xml:space="preserve"> Úprava se nedotýká provozovatelů distribučních soustav s malým počtem odběrných míst.</w:t>
      </w:r>
    </w:p>
    <w:p w:rsidR="00486323" w:rsidRDefault="00486323" w:rsidP="00AA095D">
      <w:pPr>
        <w:pStyle w:val="Ustanoven"/>
      </w:pPr>
      <w:r>
        <w:t>§ 35 odst. 6</w:t>
      </w:r>
    </w:p>
    <w:p w:rsidR="00486323" w:rsidRDefault="00AA095D" w:rsidP="00AA095D">
      <w:r>
        <w:t xml:space="preserve">Úprava umožní </w:t>
      </w:r>
      <w:r w:rsidR="006A056D">
        <w:t xml:space="preserve">kontrolu dat evidovaných provozovatelem distribuční soustavy tak, aby případné rozdíly vyplývající z dat předávaných podle přílohy č. 2, která mají dopad do fakturace, mohly být se zákazníkem vyjasněny před fakturací ze strany obchodníka. Úprava umožní </w:t>
      </w:r>
      <w:r w:rsidR="009C58D9">
        <w:t xml:space="preserve">obchodníkovi s plynem </w:t>
      </w:r>
      <w:r w:rsidR="006A056D">
        <w:t xml:space="preserve">eliminovat zbytečné reklamace, které přinášejí dodatečné vícepráce </w:t>
      </w:r>
      <w:r w:rsidR="007E62B0">
        <w:t>a </w:t>
      </w:r>
      <w:r w:rsidR="006A056D">
        <w:t>náklady</w:t>
      </w:r>
      <w:r w:rsidR="00FD08DF">
        <w:t xml:space="preserve"> porovnáním údajů v informačním systému operátora trhu s údaji v informačním systému příslušného provozovatele distribuční soustavy</w:t>
      </w:r>
      <w:r w:rsidR="006A056D">
        <w:t>.</w:t>
      </w:r>
      <w:r w:rsidR="00FD08DF">
        <w:t xml:space="preserve"> </w:t>
      </w:r>
    </w:p>
    <w:p w:rsidR="0071642D" w:rsidRDefault="0071642D" w:rsidP="00901D0C">
      <w:pPr>
        <w:pStyle w:val="Ustanoven"/>
      </w:pPr>
      <w:r w:rsidRPr="00F53935">
        <w:t xml:space="preserve">§ 46 odst. 1, § 47 odst. </w:t>
      </w:r>
      <w:r w:rsidR="00BE2566" w:rsidRPr="00F53935">
        <w:t>1</w:t>
      </w:r>
      <w:r w:rsidR="00BE2566">
        <w:t> </w:t>
      </w:r>
      <w:r w:rsidRPr="00F53935">
        <w:t>písm. c)</w:t>
      </w:r>
      <w:r w:rsidR="005962D7" w:rsidRPr="00F53935">
        <w:t xml:space="preserve"> </w:t>
      </w:r>
      <w:r w:rsidR="00BE2566" w:rsidRPr="00F53935">
        <w:t>a</w:t>
      </w:r>
      <w:r w:rsidR="00BE2566">
        <w:t> </w:t>
      </w:r>
      <w:r w:rsidR="005962D7" w:rsidRPr="00F53935">
        <w:t>příloha č. 15</w:t>
      </w:r>
    </w:p>
    <w:p w:rsidR="00BB1FA7" w:rsidRPr="00F53935" w:rsidRDefault="00BB1FA7" w:rsidP="004140E5">
      <w:r>
        <w:t>Úprava doplňuje rozsah uvedených typů měření tak, aby byl v souladu s příslušnou prováděcí legislativou k energetickému zákonu (vyhláška č. 108/2011 S</w:t>
      </w:r>
      <w:r w:rsidR="00152986">
        <w:t xml:space="preserve">b., </w:t>
      </w:r>
      <w:r w:rsidR="00887BB8">
        <w:t>o </w:t>
      </w:r>
      <w:r w:rsidR="00152986">
        <w:t xml:space="preserve">měření plynu </w:t>
      </w:r>
      <w:r w:rsidR="00887BB8">
        <w:t>a o </w:t>
      </w:r>
      <w:r w:rsidR="00152986">
        <w:t>způsobu stanovení náhrady škody při neoprávněném odběru, neoprávněné dodávce, neoprávněném uskladňování, neoprávněné přepravě nebo neoprávněné distribuci plynu</w:t>
      </w:r>
      <w:r>
        <w:t>).</w:t>
      </w:r>
    </w:p>
    <w:p w:rsidR="0071642D" w:rsidRDefault="0071642D" w:rsidP="00901D0C">
      <w:pPr>
        <w:pStyle w:val="Ustanoven"/>
      </w:pPr>
      <w:r w:rsidRPr="00F53935">
        <w:t>ČÁSTČTVRTÁ</w:t>
      </w:r>
    </w:p>
    <w:p w:rsidR="00BB1FA7" w:rsidRPr="00F53935" w:rsidRDefault="00152986" w:rsidP="00AA095D">
      <w:r>
        <w:t>V</w:t>
      </w:r>
      <w:r w:rsidR="00BB1FA7">
        <w:t xml:space="preserve">iz bod </w:t>
      </w:r>
      <w:r w:rsidR="003D43AB">
        <w:t xml:space="preserve">2.1, 2.2, </w:t>
      </w:r>
      <w:r w:rsidR="00BB1FA7">
        <w:t>2.3</w:t>
      </w:r>
      <w:r w:rsidR="00D9721F">
        <w:t>.</w:t>
      </w:r>
    </w:p>
    <w:p w:rsidR="0071642D" w:rsidRPr="00F53935" w:rsidRDefault="0071642D" w:rsidP="00901D0C">
      <w:pPr>
        <w:pStyle w:val="Ustanoven"/>
      </w:pPr>
      <w:r w:rsidRPr="00F53935">
        <w:t>§ 59 odst. 3</w:t>
      </w:r>
    </w:p>
    <w:p w:rsidR="0071642D" w:rsidRDefault="0071642D" w:rsidP="00AA095D">
      <w:r>
        <w:t xml:space="preserve">Na základě úpravy dojde </w:t>
      </w:r>
      <w:r w:rsidR="00BE2566">
        <w:t>k </w:t>
      </w:r>
      <w:r>
        <w:t>nabídce na prodej nevytěženého plynu</w:t>
      </w:r>
      <w:r w:rsidRPr="0071642D">
        <w:t xml:space="preserve"> za tržní cenu plynu.</w:t>
      </w:r>
    </w:p>
    <w:p w:rsidR="003D43AB" w:rsidRDefault="00561A99" w:rsidP="00901D0C">
      <w:pPr>
        <w:pStyle w:val="Ustanoven"/>
      </w:pPr>
      <w:r w:rsidRPr="00F53935">
        <w:t>§ 65 odst. 2</w:t>
      </w:r>
      <w:r w:rsidR="00723D15">
        <w:t xml:space="preserve">, </w:t>
      </w:r>
      <w:r w:rsidRPr="00F53935">
        <w:t>§ 67 odst. 3</w:t>
      </w:r>
      <w:r w:rsidR="00723D15">
        <w:t xml:space="preserve">, </w:t>
      </w:r>
      <w:r w:rsidRPr="00F53935">
        <w:t>§ 70 odst. 5</w:t>
      </w:r>
      <w:r w:rsidR="00723D15">
        <w:t xml:space="preserve">, </w:t>
      </w:r>
      <w:r w:rsidR="003D43AB">
        <w:t>§ 71 odst. 4</w:t>
      </w:r>
    </w:p>
    <w:p w:rsidR="00723D15" w:rsidRPr="00F53935" w:rsidRDefault="00723D15" w:rsidP="004140E5">
      <w:r>
        <w:t xml:space="preserve">Úprava souvisí s úpravou § 35 odst. 6, kdy je řešena problematika sesouhlasování nominací uskladňování </w:t>
      </w:r>
      <w:r w:rsidR="00BE2566">
        <w:t>a </w:t>
      </w:r>
      <w:r>
        <w:t xml:space="preserve">přepravy tak, aby maximálně efektivně využita plynárenská infrastruktura. </w:t>
      </w:r>
    </w:p>
    <w:p w:rsidR="00A2260E" w:rsidRPr="00F53935" w:rsidRDefault="00A2260E" w:rsidP="00901D0C">
      <w:pPr>
        <w:pStyle w:val="Ustanoven"/>
      </w:pPr>
      <w:r w:rsidRPr="00F53935">
        <w:t>§ 72 odst. 3</w:t>
      </w:r>
    </w:p>
    <w:p w:rsidR="00A2260E" w:rsidRDefault="00A2260E" w:rsidP="00AA095D">
      <w:r>
        <w:t xml:space="preserve">Úprava umožní provozovateli zásobníku plynu předávat operátorovi trhu každou </w:t>
      </w:r>
      <w:r w:rsidR="00A60D52">
        <w:t xml:space="preserve">údaje </w:t>
      </w:r>
      <w:r w:rsidR="00BE2566">
        <w:t>o </w:t>
      </w:r>
      <w:r>
        <w:t>renominac</w:t>
      </w:r>
      <w:r w:rsidR="00A60D52">
        <w:t>ích</w:t>
      </w:r>
      <w:r w:rsidR="00152986">
        <w:t xml:space="preserve"> </w:t>
      </w:r>
      <w:r w:rsidR="00A60D52">
        <w:t>zahraničních účastníků v rozdělení po jednotlivých zahraničních účastnící</w:t>
      </w:r>
      <w:r w:rsidR="004140E5">
        <w:t>c</w:t>
      </w:r>
      <w:r w:rsidR="00A60D52">
        <w:t>h.</w:t>
      </w:r>
      <w:r w:rsidR="00A60D52" w:rsidDel="00A60D52">
        <w:t xml:space="preserve"> </w:t>
      </w:r>
    </w:p>
    <w:p w:rsidR="00E80A7D" w:rsidRDefault="00E80A7D" w:rsidP="00E80A7D">
      <w:pPr>
        <w:pStyle w:val="Ustanoven"/>
      </w:pPr>
      <w:r>
        <w:t>§ 77 odst. 5</w:t>
      </w:r>
    </w:p>
    <w:p w:rsidR="00AC3712" w:rsidRDefault="00E80A7D" w:rsidP="00AA095D">
      <w:r>
        <w:t>Úprava řeší problematiku předávání odchylky, kdy je cílem eliminovat nejistotu přebírajícího subjektu zúčtování ohledně toho, jaká hodnota bilančního účtu odchylek na tento subjekt bude převedena. Při předání odchylky na jiný subjekt zúčtování se za poslední den, kdy subjekt zúčtování sám odpovídá za svou odchylku, vypořádá celý bilanční účet odchylek jako denní vyrovnávací množství za použitelnou cenu pro daný den.</w:t>
      </w:r>
    </w:p>
    <w:p w:rsidR="003C770C" w:rsidRPr="00F53935" w:rsidRDefault="003C770C" w:rsidP="00901D0C">
      <w:pPr>
        <w:pStyle w:val="Ustanoven"/>
      </w:pPr>
      <w:r w:rsidRPr="00F53935">
        <w:t>§ 78 odst. 5</w:t>
      </w:r>
    </w:p>
    <w:p w:rsidR="003C770C" w:rsidRDefault="003C770C" w:rsidP="003C770C">
      <w:r>
        <w:t>Náprava písařské chyby.</w:t>
      </w:r>
    </w:p>
    <w:p w:rsidR="003C770C" w:rsidRPr="00F53935" w:rsidRDefault="003C770C" w:rsidP="00901D0C">
      <w:pPr>
        <w:pStyle w:val="Ustanoven"/>
      </w:pPr>
      <w:r w:rsidRPr="00F53935">
        <w:t>§ 79 odst. 3</w:t>
      </w:r>
    </w:p>
    <w:p w:rsidR="003C770C" w:rsidRDefault="003C770C" w:rsidP="00AA095D">
      <w:r>
        <w:t>Úprava terminologie na základě novely energetického zákona.</w:t>
      </w:r>
    </w:p>
    <w:p w:rsidR="003D1F61" w:rsidRPr="00F53935" w:rsidRDefault="003D1F61" w:rsidP="00901D0C">
      <w:pPr>
        <w:pStyle w:val="Ustanoven"/>
      </w:pPr>
      <w:r w:rsidRPr="00F53935">
        <w:t>§ 81 odst. 1, § 81 odst. 2</w:t>
      </w:r>
    </w:p>
    <w:p w:rsidR="003D1F61" w:rsidRDefault="006A7E6A" w:rsidP="00AA095D">
      <w:r>
        <w:t xml:space="preserve">Úprava reflektuje skutečnost, že operátor trhu zpřístupňuje informace uvedené v ustanovení </w:t>
      </w:r>
      <w:r w:rsidR="00BE2566">
        <w:t>i </w:t>
      </w:r>
      <w:r>
        <w:t>provozovateli přepravní soustavy za každého jednotlivého zahraničního účastníka.</w:t>
      </w:r>
      <w:r w:rsidR="001714E2">
        <w:t xml:space="preserve"> Jedná se </w:t>
      </w:r>
      <w:r w:rsidR="00BE2566">
        <w:t>o </w:t>
      </w:r>
      <w:r w:rsidR="001714E2">
        <w:t>legislativní nastavení procesů tak, aby odpovídaly reálnému stavu předávání informací mezi dotčenými účastníky trhu s plynem.</w:t>
      </w:r>
    </w:p>
    <w:p w:rsidR="003D1F61" w:rsidRPr="00F53935" w:rsidRDefault="003D1F61" w:rsidP="00901D0C">
      <w:pPr>
        <w:pStyle w:val="Ustanoven"/>
      </w:pPr>
      <w:r w:rsidRPr="00F53935">
        <w:t xml:space="preserve">§ 81 odst. </w:t>
      </w:r>
      <w:r w:rsidR="00BE2566" w:rsidRPr="00F53935">
        <w:t>3</w:t>
      </w:r>
      <w:r w:rsidR="00BE2566">
        <w:t> </w:t>
      </w:r>
      <w:r w:rsidR="00BE2566" w:rsidRPr="00F53935">
        <w:t>a</w:t>
      </w:r>
      <w:r w:rsidR="00BE2566">
        <w:t> </w:t>
      </w:r>
      <w:r w:rsidRPr="00F53935">
        <w:t>4</w:t>
      </w:r>
    </w:p>
    <w:p w:rsidR="003D1F61" w:rsidRDefault="003D1F61" w:rsidP="00AA095D">
      <w:r>
        <w:t>Úpravy upřesňujícího charakteru</w:t>
      </w:r>
      <w:r w:rsidR="0075415B">
        <w:t xml:space="preserve">, kdy dochází k terminologickému zpřesnění vstupních veličin pro výpočet hodnoty kladného </w:t>
      </w:r>
      <w:r w:rsidR="00BE2566">
        <w:t>a </w:t>
      </w:r>
      <w:r w:rsidR="0075415B">
        <w:t>záporného vyrovnávacího množství</w:t>
      </w:r>
      <w:r w:rsidR="00C15187">
        <w:t>.</w:t>
      </w:r>
    </w:p>
    <w:p w:rsidR="00C15187" w:rsidRPr="00F53935" w:rsidRDefault="00C15187" w:rsidP="00901D0C">
      <w:pPr>
        <w:pStyle w:val="Ustanoven"/>
      </w:pPr>
      <w:r w:rsidRPr="00F53935">
        <w:t xml:space="preserve">§ 81 odstavce </w:t>
      </w:r>
      <w:r w:rsidR="00BE2566" w:rsidRPr="00F53935">
        <w:t>6</w:t>
      </w:r>
      <w:r w:rsidR="00BE2566">
        <w:t> </w:t>
      </w:r>
      <w:r w:rsidR="00BE2566" w:rsidRPr="00F53935">
        <w:t>a</w:t>
      </w:r>
      <w:r w:rsidR="00BE2566">
        <w:t> </w:t>
      </w:r>
      <w:r w:rsidRPr="00F53935">
        <w:t>7</w:t>
      </w:r>
    </w:p>
    <w:p w:rsidR="00C15187" w:rsidRDefault="00C15187" w:rsidP="00AA095D">
      <w:r>
        <w:t>Úpravou dojde k</w:t>
      </w:r>
      <w:r w:rsidR="00820B56">
        <w:t xml:space="preserve"> rozšíření informací předávaných mezi operátorem trhu </w:t>
      </w:r>
      <w:r w:rsidR="00BE2566">
        <w:t>a </w:t>
      </w:r>
      <w:r w:rsidR="00820B56">
        <w:t xml:space="preserve">provozovatelem přepravní soustavy jakožto subjektů, které jsou v ČR zodpovědné za obchodní </w:t>
      </w:r>
      <w:r w:rsidR="00BE2566">
        <w:t>a </w:t>
      </w:r>
      <w:r w:rsidR="00820B56">
        <w:t>fyzické vyrovnávání plynárenské soustavy</w:t>
      </w:r>
      <w:r w:rsidR="00152986">
        <w:t>.</w:t>
      </w:r>
      <w:r w:rsidR="00BE2566">
        <w:t> </w:t>
      </w:r>
    </w:p>
    <w:p w:rsidR="0092163D" w:rsidRPr="00967E37" w:rsidRDefault="00967E37" w:rsidP="00967E37">
      <w:pPr>
        <w:pStyle w:val="Ustanoven"/>
      </w:pPr>
      <w:r w:rsidRPr="00967E37">
        <w:t>§ 82 odst. 2</w:t>
      </w:r>
    </w:p>
    <w:p w:rsidR="00967E37" w:rsidRDefault="00967E37">
      <w:r>
        <w:t>Úprava odstraňuje stav, kdy</w:t>
      </w:r>
      <w:r w:rsidR="004D0861">
        <w:t xml:space="preserve"> není</w:t>
      </w:r>
      <w:r>
        <w:t xml:space="preserve"> jednoznačn</w:t>
      </w:r>
      <w:r w:rsidR="004D0861">
        <w:t>é</w:t>
      </w:r>
      <w:r>
        <w:t>, pro které dny se uplatní mechanismu obchodního vyrovnávání denních odchylek při předcházení stavu nouze. Úpravou vyhláška přesně definuje, kterých dnů se týká výpočet odchylek při předcházení stavu nouze.</w:t>
      </w:r>
    </w:p>
    <w:p w:rsidR="00967E37" w:rsidRDefault="00967E37" w:rsidP="002637D4">
      <w:pPr>
        <w:pStyle w:val="Ustanoven"/>
      </w:pPr>
      <w:r>
        <w:t>§ 8</w:t>
      </w:r>
      <w:r w:rsidR="00CB7A7A">
        <w:t>2</w:t>
      </w:r>
      <w:r>
        <w:t xml:space="preserve"> odst. </w:t>
      </w:r>
      <w:r w:rsidR="007E62B0">
        <w:t>3 a </w:t>
      </w:r>
      <w:r>
        <w:t>4</w:t>
      </w:r>
    </w:p>
    <w:p w:rsidR="00967E37" w:rsidRDefault="005B094E">
      <w:r>
        <w:t>Úpravy upřesňujícího charakteru, kdy dochází k terminol</w:t>
      </w:r>
      <w:r w:rsidR="00BF704E">
        <w:t>ogickému zpřesnění</w:t>
      </w:r>
      <w:r w:rsidR="00D254A6">
        <w:t>.</w:t>
      </w:r>
    </w:p>
    <w:p w:rsidR="00CB7A7A" w:rsidRPr="00F53935" w:rsidRDefault="00CB7A7A" w:rsidP="00BF704E">
      <w:pPr>
        <w:pStyle w:val="Ustanoven"/>
      </w:pPr>
      <w:r w:rsidRPr="00F53935">
        <w:t>§ 83 odst. 2</w:t>
      </w:r>
    </w:p>
    <w:p w:rsidR="00BF704E" w:rsidRDefault="00851BAD" w:rsidP="00BF704E">
      <w:r w:rsidRPr="00BF704E">
        <w:t>Úprava odstraňuje stav, kdy není jednoznačné, pro které dny se uplatní mechanismu obchodního vyrovnávání denních odchylek při stavu nouze. Úpravou vyhláška přesně definuje, kterých dnů se týká výpočet odchylek při stavu nouze.</w:t>
      </w:r>
      <w:r>
        <w:t xml:space="preserve"> </w:t>
      </w:r>
    </w:p>
    <w:p w:rsidR="00D646C0" w:rsidRDefault="00D646C0" w:rsidP="00901D0C">
      <w:pPr>
        <w:pStyle w:val="Ustanoven"/>
      </w:pPr>
      <w:r w:rsidRPr="00F53935">
        <w:t xml:space="preserve">§ 83 odst. </w:t>
      </w:r>
      <w:r w:rsidR="00BE2566" w:rsidRPr="00F53935">
        <w:t>3</w:t>
      </w:r>
      <w:r w:rsidR="00BE2566">
        <w:t> </w:t>
      </w:r>
      <w:r w:rsidRPr="00F53935">
        <w:t xml:space="preserve">písm. b) </w:t>
      </w:r>
      <w:r w:rsidR="00BE2566" w:rsidRPr="00F53935">
        <w:t>a</w:t>
      </w:r>
      <w:r w:rsidR="00BE2566">
        <w:t> </w:t>
      </w:r>
      <w:r w:rsidRPr="00F53935">
        <w:t xml:space="preserve">c) </w:t>
      </w:r>
      <w:r w:rsidR="00BE2566" w:rsidRPr="00F53935">
        <w:t>a</w:t>
      </w:r>
      <w:r w:rsidR="00BE2566">
        <w:t> </w:t>
      </w:r>
      <w:r w:rsidRPr="00F53935">
        <w:t xml:space="preserve">odst. </w:t>
      </w:r>
      <w:r w:rsidR="00BE2566" w:rsidRPr="00F53935">
        <w:t>4</w:t>
      </w:r>
      <w:r w:rsidR="00BE2566">
        <w:t> </w:t>
      </w:r>
      <w:r w:rsidRPr="00F53935">
        <w:t xml:space="preserve">písm. b) </w:t>
      </w:r>
      <w:r w:rsidR="00BE2566" w:rsidRPr="00F53935">
        <w:t>a</w:t>
      </w:r>
      <w:r w:rsidR="00BE2566">
        <w:t> </w:t>
      </w:r>
      <w:r w:rsidRPr="00F53935">
        <w:t xml:space="preserve">c) </w:t>
      </w:r>
    </w:p>
    <w:p w:rsidR="00E62055" w:rsidRPr="00F53935" w:rsidRDefault="00E62055" w:rsidP="00D646C0">
      <w:pPr>
        <w:rPr>
          <w:i/>
        </w:rPr>
      </w:pPr>
      <w:r>
        <w:t>Úpravy upřesňujícího charakteru, kdy dochází k terminologickému zpřesnění.</w:t>
      </w:r>
    </w:p>
    <w:p w:rsidR="00D646C0" w:rsidRDefault="00D646C0" w:rsidP="00901D0C">
      <w:pPr>
        <w:pStyle w:val="Ustanoven"/>
      </w:pPr>
      <w:r w:rsidRPr="00F53935">
        <w:t xml:space="preserve">§ 89 odst. </w:t>
      </w:r>
      <w:r w:rsidR="00BE2566" w:rsidRPr="00F53935">
        <w:t>3</w:t>
      </w:r>
      <w:r w:rsidR="00BE2566">
        <w:t> </w:t>
      </w:r>
    </w:p>
    <w:p w:rsidR="00715858" w:rsidRPr="00F53935" w:rsidRDefault="00715858" w:rsidP="00D20CE3">
      <w:r>
        <w:t>Oprava písařské chyby.</w:t>
      </w:r>
    </w:p>
    <w:p w:rsidR="00D646C0" w:rsidRDefault="00D646C0" w:rsidP="00901D0C">
      <w:pPr>
        <w:pStyle w:val="Ustanoven"/>
      </w:pPr>
      <w:r w:rsidRPr="00F53935">
        <w:t xml:space="preserve">§ 94 odst. </w:t>
      </w:r>
      <w:r w:rsidR="00BE2566" w:rsidRPr="00F53935">
        <w:t>1</w:t>
      </w:r>
      <w:r w:rsidR="00BE2566">
        <w:t> </w:t>
      </w:r>
    </w:p>
    <w:p w:rsidR="00CB786A" w:rsidRPr="00F53935" w:rsidRDefault="00CB786A" w:rsidP="00D20CE3">
      <w:r>
        <w:t xml:space="preserve">Úprava přesně definuje období, za které je prováděna evidence příjmů </w:t>
      </w:r>
      <w:r w:rsidR="00BE2566">
        <w:t>a </w:t>
      </w:r>
      <w:r>
        <w:t xml:space="preserve">výdajů spojených s denním vyrovnávacím množstvím </w:t>
      </w:r>
      <w:r w:rsidR="00BE2566">
        <w:t>a </w:t>
      </w:r>
      <w:r>
        <w:t>vyrovnávacích akcí provozovatele přepravní soustavy.</w:t>
      </w:r>
    </w:p>
    <w:p w:rsidR="00D646C0" w:rsidRDefault="00D646C0" w:rsidP="00901D0C">
      <w:pPr>
        <w:pStyle w:val="Ustanoven"/>
      </w:pPr>
      <w:r w:rsidRPr="00F53935">
        <w:t xml:space="preserve">§ 95 odst. </w:t>
      </w:r>
      <w:r w:rsidR="00BE2566" w:rsidRPr="00F53935">
        <w:t>1</w:t>
      </w:r>
      <w:r w:rsidR="00BE2566">
        <w:t> </w:t>
      </w:r>
      <w:r w:rsidRPr="00F53935">
        <w:t xml:space="preserve">písm. f), odst. </w:t>
      </w:r>
      <w:r w:rsidR="00BE2566" w:rsidRPr="00F53935">
        <w:t>2</w:t>
      </w:r>
      <w:r w:rsidR="00BE2566">
        <w:t> </w:t>
      </w:r>
      <w:r w:rsidRPr="00F53935">
        <w:t xml:space="preserve">písm. f) </w:t>
      </w:r>
      <w:r w:rsidR="00BE2566" w:rsidRPr="00F53935">
        <w:t>a</w:t>
      </w:r>
      <w:r w:rsidR="00BE2566">
        <w:t> </w:t>
      </w:r>
      <w:r w:rsidRPr="00F53935">
        <w:t xml:space="preserve">odst. </w:t>
      </w:r>
      <w:r w:rsidR="00BE2566" w:rsidRPr="00F53935">
        <w:t>4</w:t>
      </w:r>
      <w:r w:rsidR="00BE2566">
        <w:t> </w:t>
      </w:r>
      <w:r w:rsidRPr="00F53935">
        <w:t xml:space="preserve">písm. a) </w:t>
      </w:r>
    </w:p>
    <w:p w:rsidR="00451070" w:rsidRPr="00F53935" w:rsidRDefault="00EC5DDE" w:rsidP="00D20CE3">
      <w:r>
        <w:t>Stylistická úprava.</w:t>
      </w:r>
    </w:p>
    <w:p w:rsidR="00C528D4" w:rsidRDefault="00D646C0" w:rsidP="00901D0C">
      <w:pPr>
        <w:pStyle w:val="Ustanoven"/>
      </w:pPr>
      <w:r w:rsidRPr="00F53935">
        <w:t xml:space="preserve">§ 96 odst. </w:t>
      </w:r>
      <w:r w:rsidR="00BE2566" w:rsidRPr="00F53935">
        <w:t>1</w:t>
      </w:r>
      <w:r w:rsidR="00BE2566">
        <w:t> </w:t>
      </w:r>
      <w:r w:rsidRPr="00F53935">
        <w:t xml:space="preserve">písm. d) </w:t>
      </w:r>
      <w:r w:rsidR="00BE2566" w:rsidRPr="00F53935">
        <w:t>a</w:t>
      </w:r>
      <w:r w:rsidR="00BE2566">
        <w:t> </w:t>
      </w:r>
      <w:r w:rsidRPr="00F53935">
        <w:t xml:space="preserve">odst. </w:t>
      </w:r>
      <w:r w:rsidR="00BE2566" w:rsidRPr="00F53935">
        <w:t>2</w:t>
      </w:r>
      <w:r w:rsidR="00BE2566">
        <w:t> </w:t>
      </w:r>
      <w:r w:rsidRPr="00F53935">
        <w:t>písm. c)</w:t>
      </w:r>
    </w:p>
    <w:p w:rsidR="00EC5DDE" w:rsidRPr="00F53935" w:rsidRDefault="00EC5DDE" w:rsidP="00D20CE3">
      <w:r>
        <w:t>Upřesnění použitého názvosloví.</w:t>
      </w:r>
    </w:p>
    <w:p w:rsidR="00CA4E5C" w:rsidRDefault="00CA4E5C" w:rsidP="002637D4">
      <w:pPr>
        <w:pStyle w:val="Ustanoven"/>
      </w:pPr>
      <w:r>
        <w:t>§ 96 odst. 4</w:t>
      </w:r>
    </w:p>
    <w:p w:rsidR="00152C81" w:rsidRPr="00FE366F" w:rsidRDefault="006930CA" w:rsidP="00D20CE3">
      <w:r w:rsidRPr="00FE366F">
        <w:t>Úprava provádí</w:t>
      </w:r>
      <w:r w:rsidR="00CA4E5C" w:rsidRPr="00FE366F">
        <w:t xml:space="preserve"> termínovému sesouhlasení </w:t>
      </w:r>
      <w:r w:rsidR="007E62B0" w:rsidRPr="00FE366F">
        <w:t>s </w:t>
      </w:r>
      <w:r w:rsidR="00CA4E5C" w:rsidRPr="00FE366F">
        <w:t xml:space="preserve">§ 96 odst. </w:t>
      </w:r>
      <w:r w:rsidR="007E62B0" w:rsidRPr="00FE366F">
        <w:t>4 a </w:t>
      </w:r>
      <w:r w:rsidR="00CA4E5C" w:rsidRPr="00FE366F">
        <w:t xml:space="preserve">95 </w:t>
      </w:r>
      <w:r w:rsidR="002637D4" w:rsidRPr="00FE366F">
        <w:t xml:space="preserve">odst. </w:t>
      </w:r>
      <w:r w:rsidR="007E62B0" w:rsidRPr="00FE366F">
        <w:t>4 </w:t>
      </w:r>
      <w:r w:rsidR="002637D4" w:rsidRPr="00FE366F">
        <w:t>vyhlášky</w:t>
      </w:r>
      <w:r w:rsidR="00CA4E5C" w:rsidRPr="00FE366F">
        <w:t xml:space="preserve"> č. 349/2015 Sb.</w:t>
      </w:r>
    </w:p>
    <w:p w:rsidR="00F53935" w:rsidRPr="00F53935" w:rsidRDefault="00152C81" w:rsidP="00901D0C">
      <w:pPr>
        <w:pStyle w:val="Ustanoven"/>
      </w:pPr>
      <w:r w:rsidRPr="00F53935">
        <w:t>§ 100 odst. 4</w:t>
      </w:r>
    </w:p>
    <w:p w:rsidR="00152C81" w:rsidRPr="00FE366F" w:rsidRDefault="000F3BF1" w:rsidP="00D20CE3">
      <w:r w:rsidRPr="00FE366F">
        <w:t>Terminologická úprava</w:t>
      </w:r>
      <w:r w:rsidR="00152C81" w:rsidRPr="00FE366F">
        <w:t>.</w:t>
      </w:r>
    </w:p>
    <w:p w:rsidR="00D646C0" w:rsidRPr="00F53935" w:rsidRDefault="00152C81" w:rsidP="00901D0C">
      <w:pPr>
        <w:pStyle w:val="Ustanoven"/>
      </w:pPr>
      <w:r w:rsidRPr="00F53935">
        <w:t xml:space="preserve">§ 102 odst. </w:t>
      </w:r>
      <w:r w:rsidR="00BE2566" w:rsidRPr="00F53935">
        <w:t>2</w:t>
      </w:r>
      <w:r w:rsidR="00BE2566">
        <w:t> </w:t>
      </w:r>
      <w:r w:rsidR="00431ED6" w:rsidRPr="00F53935">
        <w:t>písm. j)</w:t>
      </w:r>
    </w:p>
    <w:p w:rsidR="00431ED6" w:rsidRDefault="00F16A05" w:rsidP="00152C81">
      <w:r>
        <w:t>Úprava rozšiřuje seznam informací zveřejňovaných operátorem trhu. Očekává se, že úprava přinese</w:t>
      </w:r>
      <w:r w:rsidR="00431ED6">
        <w:t xml:space="preserve"> snížení odchylek jednotlivých subjektů zúčtování.</w:t>
      </w:r>
    </w:p>
    <w:p w:rsidR="00B677A6" w:rsidRDefault="00B677A6" w:rsidP="00901D0C">
      <w:pPr>
        <w:pStyle w:val="Ustanoven"/>
      </w:pPr>
      <w:r w:rsidRPr="00F53935">
        <w:t>§ 102 odst. 7</w:t>
      </w:r>
    </w:p>
    <w:p w:rsidR="00E431FD" w:rsidRPr="00F53935" w:rsidRDefault="00E431FD" w:rsidP="00152C81">
      <w:pPr>
        <w:rPr>
          <w:i/>
        </w:rPr>
      </w:pPr>
      <w:r>
        <w:t>Úprava rozšiřuje seznam informací zveřejňovaných operátorem trhu.</w:t>
      </w:r>
    </w:p>
    <w:p w:rsidR="002637D4" w:rsidRDefault="002637D4" w:rsidP="00233D90">
      <w:pPr>
        <w:pStyle w:val="Ustanoven"/>
      </w:pPr>
      <w:r>
        <w:t>§ 103 odst. 1</w:t>
      </w:r>
    </w:p>
    <w:p w:rsidR="00522065" w:rsidRDefault="002637D4" w:rsidP="00522065">
      <w:r>
        <w:t xml:space="preserve">Operátor trhu bude na základě této úpravy vypořádávat </w:t>
      </w:r>
      <w:r w:rsidR="007E62B0">
        <w:t>a </w:t>
      </w:r>
      <w:r>
        <w:t>fakturovat vůči provozovateli přepravní soustavy saldo všech denních vyrovnávacích množství, nikoli odděleně celkové příjm</w:t>
      </w:r>
      <w:r w:rsidR="00EB66E9">
        <w:t xml:space="preserve">y </w:t>
      </w:r>
      <w:r w:rsidR="007E62B0">
        <w:t>a </w:t>
      </w:r>
      <w:r w:rsidR="00EB66E9">
        <w:t>výdaje. Úprava zajistí logické nastavení procesů mezi</w:t>
      </w:r>
      <w:r w:rsidR="00D26129">
        <w:t xml:space="preserve"> operátorem trhu </w:t>
      </w:r>
      <w:r w:rsidR="007E62B0">
        <w:t>a </w:t>
      </w:r>
      <w:r w:rsidR="00D26129">
        <w:t>provozovatelem přepravní soustavy</w:t>
      </w:r>
      <w:r w:rsidR="00EB66E9">
        <w:t xml:space="preserve"> podle praxe</w:t>
      </w:r>
      <w:r w:rsidR="004A0967">
        <w:t xml:space="preserve"> reflektující efektivní řízení procesů</w:t>
      </w:r>
      <w:r w:rsidR="00EB66E9">
        <w:t>.</w:t>
      </w:r>
    </w:p>
    <w:p w:rsidR="007E25E6" w:rsidRDefault="007E25E6" w:rsidP="00901D0C">
      <w:pPr>
        <w:pStyle w:val="Ustanoven"/>
      </w:pPr>
      <w:r w:rsidRPr="00F53935">
        <w:t xml:space="preserve">§ 103 odst. </w:t>
      </w:r>
      <w:r w:rsidR="00BE2566" w:rsidRPr="00F53935">
        <w:t>5</w:t>
      </w:r>
      <w:r w:rsidR="00BE2566">
        <w:t> </w:t>
      </w:r>
    </w:p>
    <w:p w:rsidR="00FB7D50" w:rsidRPr="00F53935" w:rsidRDefault="00FB7D50" w:rsidP="00FE366F">
      <w:r>
        <w:t>Terminologické zpřesnění nemající vliv na nastavení procesů. Pravidla s plynem používají termín „</w:t>
      </w:r>
      <w:r w:rsidRPr="00FE366F">
        <w:rPr>
          <w:i/>
        </w:rPr>
        <w:t>opravné hodnoty odečtu</w:t>
      </w:r>
      <w:r>
        <w:t>“.</w:t>
      </w:r>
    </w:p>
    <w:p w:rsidR="007E25E6" w:rsidRDefault="007E25E6" w:rsidP="00901D0C">
      <w:pPr>
        <w:pStyle w:val="Ustanoven"/>
      </w:pPr>
      <w:r w:rsidRPr="00F53935">
        <w:t xml:space="preserve">§ 104 odst. </w:t>
      </w:r>
      <w:r w:rsidR="00BE2566" w:rsidRPr="00F53935">
        <w:t>2</w:t>
      </w:r>
      <w:r w:rsidR="00BE2566">
        <w:t> </w:t>
      </w:r>
    </w:p>
    <w:p w:rsidR="004D4E52" w:rsidRPr="00F53935" w:rsidRDefault="004D4E52" w:rsidP="00D20CE3">
      <w:r>
        <w:t>Oprava písařské chyby.</w:t>
      </w:r>
    </w:p>
    <w:p w:rsidR="007E25E6" w:rsidRPr="00F53935" w:rsidRDefault="007E25E6" w:rsidP="00901D0C">
      <w:pPr>
        <w:pStyle w:val="Ustanoven"/>
      </w:pPr>
      <w:r w:rsidRPr="00F53935">
        <w:t xml:space="preserve">§ 104 odst. </w:t>
      </w:r>
      <w:r w:rsidR="00BE2566" w:rsidRPr="00F53935">
        <w:t>3</w:t>
      </w:r>
      <w:r w:rsidR="00BE2566">
        <w:t> </w:t>
      </w:r>
    </w:p>
    <w:p w:rsidR="0023660F" w:rsidRPr="00522065" w:rsidRDefault="0023660F" w:rsidP="007E25E6">
      <w:r w:rsidRPr="00522065">
        <w:t xml:space="preserve">Úprava umožňuje operátorovi trhu při vyhodnocení rozdílů mezi hodnotami skutečné spotřeby plynu </w:t>
      </w:r>
      <w:r w:rsidR="00BE2566" w:rsidRPr="00522065">
        <w:t>a</w:t>
      </w:r>
      <w:r w:rsidR="00BE2566">
        <w:t> </w:t>
      </w:r>
      <w:r w:rsidRPr="00522065">
        <w:t xml:space="preserve">vypočtenými hodnotami odběru plynu podle typových diagramů dodávek zohlednit vypořádání diferencí mezi měsíční odchylkou </w:t>
      </w:r>
      <w:r w:rsidR="00BE2566" w:rsidRPr="00522065">
        <w:t>a</w:t>
      </w:r>
      <w:r w:rsidR="00BE2566">
        <w:t> </w:t>
      </w:r>
      <w:r w:rsidRPr="00522065">
        <w:t>opravnou měsíční odchylkou</w:t>
      </w:r>
      <w:r w:rsidR="00C00585">
        <w:t xml:space="preserve">., které by </w:t>
      </w:r>
      <w:r w:rsidR="00C00585" w:rsidRPr="00522065">
        <w:t>za určitých okolností</w:t>
      </w:r>
      <w:r w:rsidR="00C00585">
        <w:t xml:space="preserve"> mohly vést </w:t>
      </w:r>
      <w:r w:rsidR="00C00585" w:rsidRPr="00522065">
        <w:t>k nesprávnému finančnímu vypořádání těchto rozdílů mezi subjekty zúčtování</w:t>
      </w:r>
      <w:r w:rsidRPr="00522065">
        <w:t>.</w:t>
      </w:r>
    </w:p>
    <w:p w:rsidR="007E25E6" w:rsidRDefault="007E25E6" w:rsidP="00901D0C">
      <w:pPr>
        <w:pStyle w:val="Ustanoven"/>
      </w:pPr>
      <w:r w:rsidRPr="00F53935">
        <w:t>§ 104 odst. 4</w:t>
      </w:r>
      <w:r w:rsidR="003D10B5">
        <w:t xml:space="preserve">, </w:t>
      </w:r>
      <w:r w:rsidR="003D10B5" w:rsidRPr="00F53935">
        <w:t>§ 105 odst. 1</w:t>
      </w:r>
      <w:r w:rsidR="003D10B5">
        <w:t xml:space="preserve">, § 106 odst. </w:t>
      </w:r>
      <w:r w:rsidR="00887BB8">
        <w:t>2 </w:t>
      </w:r>
      <w:r w:rsidR="00BE2566">
        <w:t>a </w:t>
      </w:r>
      <w:r w:rsidR="00F62E1B">
        <w:t>4</w:t>
      </w:r>
    </w:p>
    <w:p w:rsidR="00EC71D4" w:rsidRPr="00F53935" w:rsidRDefault="00EC71D4" w:rsidP="007E25E6">
      <w:pPr>
        <w:rPr>
          <w:i/>
        </w:rPr>
      </w:pPr>
      <w:r w:rsidRPr="005F65FC">
        <w:t xml:space="preserve">Úprava zpřesňuje principy přepočtu EUR na CZK pro potřeby vypořádání rozdílu mezi hodnotami skutečné spotřeby plynu </w:t>
      </w:r>
      <w:r w:rsidR="00BE2566" w:rsidRPr="005F65FC">
        <w:t>a </w:t>
      </w:r>
      <w:r w:rsidRPr="005F65FC">
        <w:t>vypočtenými hodnotami odběru plynu podle typových diagramů dodávek</w:t>
      </w:r>
      <w:r w:rsidR="00F62E1B" w:rsidRPr="005F65FC">
        <w:t xml:space="preserve">, nebo mezi hodnotami denní odchylky, měsíční odchylky </w:t>
      </w:r>
      <w:r w:rsidR="00BE2566" w:rsidRPr="005F65FC">
        <w:t>a </w:t>
      </w:r>
      <w:r w:rsidR="00F62E1B" w:rsidRPr="005F65FC">
        <w:t>opravné měsíční</w:t>
      </w:r>
      <w:r w:rsidR="00F62E1B">
        <w:t xml:space="preserve"> odchylky</w:t>
      </w:r>
      <w:r>
        <w:t>.</w:t>
      </w:r>
      <w:r w:rsidR="007A3246">
        <w:t xml:space="preserve"> Vypořádání je prováděno v CZK pro všechny subjekty zúčtování.</w:t>
      </w:r>
      <w:r w:rsidR="001D1BEA">
        <w:t xml:space="preserve"> V PTP nebyl popsán princip přepočtu.</w:t>
      </w:r>
    </w:p>
    <w:p w:rsidR="007E25E6" w:rsidRDefault="007E25E6" w:rsidP="00901D0C">
      <w:pPr>
        <w:pStyle w:val="Ustanoven"/>
      </w:pPr>
      <w:r w:rsidRPr="00F53935">
        <w:t>§ 106 odst. 3</w:t>
      </w:r>
    </w:p>
    <w:p w:rsidR="006813B2" w:rsidRPr="00F53935" w:rsidRDefault="006813B2" w:rsidP="00D20CE3">
      <w:r>
        <w:t>Úprava reflektuje dny, v nichž je možné provádět mezibankovní transakce.</w:t>
      </w:r>
    </w:p>
    <w:p w:rsidR="00B677A6" w:rsidRDefault="00B677A6" w:rsidP="00901D0C">
      <w:pPr>
        <w:pStyle w:val="Ustanoven"/>
      </w:pPr>
      <w:r w:rsidRPr="00F53935">
        <w:t>§ 106 odst. 4</w:t>
      </w:r>
    </w:p>
    <w:p w:rsidR="00F62E1B" w:rsidRDefault="00F62E1B" w:rsidP="00F62E1B">
      <w:r>
        <w:t>Úprava exaktně definuje, za jakou cenu bude případná opravná měsíční odchylka zahraničního účastníka operátorem trhu vypořádána.</w:t>
      </w:r>
    </w:p>
    <w:p w:rsidR="003058A9" w:rsidRDefault="003058A9" w:rsidP="00233D90">
      <w:pPr>
        <w:pStyle w:val="Ustanoven"/>
      </w:pPr>
      <w:r>
        <w:t>§ 106 odst. 6</w:t>
      </w:r>
    </w:p>
    <w:p w:rsidR="003058A9" w:rsidRDefault="003058A9">
      <w:r>
        <w:t xml:space="preserve">Úprava precizuje definici procesů mezi operátorem trhu </w:t>
      </w:r>
      <w:r w:rsidR="007E62B0">
        <w:t>a </w:t>
      </w:r>
      <w:r>
        <w:t xml:space="preserve">provozovatelem přepravní soustavy tak, aby bylo zřejmé, že mezi těmito subjekty dochází finančnímu vypořádání salda rozdílů mezi denními </w:t>
      </w:r>
      <w:r w:rsidR="007E62B0">
        <w:t>a </w:t>
      </w:r>
      <w:r>
        <w:t xml:space="preserve">měsíčními odchylkami, resp. mezi měsíčními </w:t>
      </w:r>
      <w:r w:rsidR="007E62B0">
        <w:t>a </w:t>
      </w:r>
      <w:r>
        <w:t>opravnými měsíčními odchylkami.</w:t>
      </w:r>
    </w:p>
    <w:p w:rsidR="00B677A6" w:rsidRDefault="00B677A6" w:rsidP="00901D0C">
      <w:pPr>
        <w:pStyle w:val="Ustanoven"/>
      </w:pPr>
      <w:r w:rsidRPr="00F53935">
        <w:t>§ 111 odst. 1</w:t>
      </w:r>
    </w:p>
    <w:p w:rsidR="004618E7" w:rsidRDefault="004618E7" w:rsidP="00D20CE3">
      <w:r>
        <w:t>Úprava řeší problematiku, kdy nezaregistrování</w:t>
      </w:r>
      <w:r w:rsidR="00DB33DB">
        <w:t>m</w:t>
      </w:r>
      <w:r>
        <w:t xml:space="preserve"> odběrného místa </w:t>
      </w:r>
      <w:r w:rsidR="00DB33DB">
        <w:t xml:space="preserve">provozovatelem distribuční nebo přepravní soustavy </w:t>
      </w:r>
      <w:r>
        <w:t xml:space="preserve">v informačním systému operátora trhu </w:t>
      </w:r>
      <w:r w:rsidR="00DB33DB">
        <w:t xml:space="preserve">dochází </w:t>
      </w:r>
      <w:r w:rsidR="00BE2566">
        <w:t>k </w:t>
      </w:r>
      <w:r w:rsidR="00DB33DB">
        <w:t>blokaci</w:t>
      </w:r>
      <w:r>
        <w:t xml:space="preserve"> proces</w:t>
      </w:r>
      <w:r w:rsidR="00DB33DB">
        <w:t>u</w:t>
      </w:r>
      <w:r>
        <w:t xml:space="preserve"> změny dodavatele</w:t>
      </w:r>
      <w:r w:rsidR="00DB33DB">
        <w:t xml:space="preserve"> namísto vyslovení nesouhlasu s</w:t>
      </w:r>
      <w:r w:rsidR="000F45C8">
        <w:t> možností rezervace</w:t>
      </w:r>
      <w:r w:rsidR="00DB33DB">
        <w:t xml:space="preserve"> distribuční nebo přepravní kapacity</w:t>
      </w:r>
      <w:r>
        <w:t>.</w:t>
      </w:r>
    </w:p>
    <w:p w:rsidR="00B677A6" w:rsidRDefault="00B677A6" w:rsidP="00901D0C">
      <w:pPr>
        <w:pStyle w:val="Ustanoven"/>
      </w:pPr>
      <w:r w:rsidRPr="00F53935">
        <w:t>§ 112 odst. 7</w:t>
      </w:r>
    </w:p>
    <w:p w:rsidR="00E35529" w:rsidRPr="00F53935" w:rsidRDefault="00E35529" w:rsidP="00D20CE3">
      <w:r>
        <w:t>Stylistická úprava.</w:t>
      </w:r>
    </w:p>
    <w:p w:rsidR="003058A9" w:rsidRDefault="003058A9" w:rsidP="00233D90">
      <w:pPr>
        <w:pStyle w:val="Ustanoven"/>
      </w:pPr>
      <w:r>
        <w:t>§ 113 odst. 3</w:t>
      </w:r>
    </w:p>
    <w:p w:rsidR="003058A9" w:rsidRDefault="003058A9">
      <w:r>
        <w:t xml:space="preserve">Úprava opravuje </w:t>
      </w:r>
      <w:r w:rsidR="00AF4404">
        <w:t>logické nepřesnosti, které</w:t>
      </w:r>
      <w:r>
        <w:t xml:space="preserve"> vznikl</w:t>
      </w:r>
      <w:r w:rsidR="00AF4404">
        <w:t>y</w:t>
      </w:r>
      <w:r>
        <w:t xml:space="preserve"> v důsledku rozdělení textu na menší fragmenty.</w:t>
      </w:r>
    </w:p>
    <w:p w:rsidR="00B677A6" w:rsidRDefault="00B677A6" w:rsidP="00B677A6">
      <w:pPr>
        <w:pStyle w:val="Ustanoven"/>
      </w:pPr>
      <w:r>
        <w:t>§ 113 odst. 4</w:t>
      </w:r>
      <w:r w:rsidR="005962D7">
        <w:t>,</w:t>
      </w:r>
      <w:r>
        <w:t xml:space="preserve"> § 125 odst. 6</w:t>
      </w:r>
      <w:r w:rsidR="005962D7">
        <w:t>, příloha č. 14 bod 1.</w:t>
      </w:r>
    </w:p>
    <w:p w:rsidR="00B677A6" w:rsidRDefault="00924EFE" w:rsidP="00901D0C">
      <w:r>
        <w:t>Stylistická úprava</w:t>
      </w:r>
      <w:r w:rsidR="00B677A6">
        <w:t>.</w:t>
      </w:r>
    </w:p>
    <w:p w:rsidR="003058A9" w:rsidRDefault="003058A9" w:rsidP="00233D90">
      <w:pPr>
        <w:pStyle w:val="Ustanoven"/>
      </w:pPr>
      <w:r>
        <w:t>§ 114 odst. 3</w:t>
      </w:r>
    </w:p>
    <w:p w:rsidR="003058A9" w:rsidRDefault="003058A9">
      <w:r>
        <w:t xml:space="preserve">Úprava </w:t>
      </w:r>
      <w:r w:rsidR="0078775B">
        <w:t>duplicitní ustanovení ve vyhlášce.</w:t>
      </w:r>
    </w:p>
    <w:p w:rsidR="003058A9" w:rsidRDefault="003058A9" w:rsidP="00233D90">
      <w:pPr>
        <w:pStyle w:val="Ustanoven"/>
      </w:pPr>
      <w:r>
        <w:t>§ 114 odst. 4</w:t>
      </w:r>
    </w:p>
    <w:p w:rsidR="003058A9" w:rsidRDefault="003058A9">
      <w:r>
        <w:t xml:space="preserve">Úprava odstraňuje </w:t>
      </w:r>
      <w:r w:rsidR="006C3BD6">
        <w:t xml:space="preserve">logicky </w:t>
      </w:r>
      <w:r w:rsidR="00977F56">
        <w:t xml:space="preserve">nesprávně </w:t>
      </w:r>
      <w:r w:rsidR="006C3BD6">
        <w:t xml:space="preserve">nastavený proces. Dodavatel plynu zasílá operátorovi trhu žádost </w:t>
      </w:r>
      <w:r w:rsidR="007E62B0">
        <w:t>o </w:t>
      </w:r>
      <w:r w:rsidR="006C3BD6">
        <w:t>zkrácení dodávky před okamžikem ukončení smlouvy, nikoli po okamžiku, kdy již došlo k ukončení předmětné smlouvy.</w:t>
      </w:r>
    </w:p>
    <w:p w:rsidR="00B677A6" w:rsidRDefault="00B677A6" w:rsidP="00901D0C">
      <w:pPr>
        <w:pStyle w:val="Ustanoven"/>
      </w:pPr>
      <w:r>
        <w:t>§ 115 odst. 3</w:t>
      </w:r>
    </w:p>
    <w:p w:rsidR="00977F56" w:rsidRDefault="00977F56">
      <w:r>
        <w:t>Stylistická úprava</w:t>
      </w:r>
    </w:p>
    <w:p w:rsidR="00233D90" w:rsidRDefault="00233D90" w:rsidP="00B1134B">
      <w:pPr>
        <w:pStyle w:val="Ustanoven"/>
      </w:pPr>
      <w:r>
        <w:t>§ 118 odst. 2</w:t>
      </w:r>
    </w:p>
    <w:p w:rsidR="00233D90" w:rsidRDefault="00233D90">
      <w:r>
        <w:t xml:space="preserve">Úprava jednoznačně popisuje proces zpracování odběrného místa v režimu DPI operátorem trhu. V souladu se zákonem č. 458/2000 Sb., ve znění pozdějších předpisů, je v informačním systému operátora trhu odběrnému místu přiřazen dodavatel poslední instance na dobu </w:t>
      </w:r>
      <w:r w:rsidR="007E62B0">
        <w:t>6 </w:t>
      </w:r>
      <w:r>
        <w:t>měsíců.</w:t>
      </w:r>
    </w:p>
    <w:p w:rsidR="00035639" w:rsidRDefault="00035639" w:rsidP="00901D0C">
      <w:pPr>
        <w:pStyle w:val="Ustanoven"/>
      </w:pPr>
      <w:r>
        <w:t>§ 119 odst.</w:t>
      </w:r>
      <w:r w:rsidR="00901D0C">
        <w:t xml:space="preserve"> </w:t>
      </w:r>
      <w:r>
        <w:t>1</w:t>
      </w:r>
    </w:p>
    <w:p w:rsidR="00035639" w:rsidRDefault="00035639" w:rsidP="00D20CE3">
      <w:r>
        <w:t>Úprava zavádí nejdřív</w:t>
      </w:r>
      <w:r w:rsidR="0017478C">
        <w:t>e možný</w:t>
      </w:r>
      <w:r w:rsidR="00D20CE3">
        <w:t xml:space="preserve"> </w:t>
      </w:r>
      <w:r>
        <w:t xml:space="preserve">termín pro podání žádosti </w:t>
      </w:r>
      <w:r w:rsidR="00BE2566">
        <w:t>o </w:t>
      </w:r>
      <w:r>
        <w:t xml:space="preserve">přerušení nebo ukončení dodávky plynu za účelem omezení inkonzistentních informací v informačním systému provozovatele distribuční soustavy. Lhůta je konzistentní s lhůtou použitou </w:t>
      </w:r>
      <w:r w:rsidR="00BE2566">
        <w:t>u </w:t>
      </w:r>
      <w:r>
        <w:t>procesu změny dodavatele.</w:t>
      </w:r>
    </w:p>
    <w:p w:rsidR="001753A4" w:rsidRDefault="001753A4" w:rsidP="00901D0C">
      <w:pPr>
        <w:pStyle w:val="Ustanoven"/>
      </w:pPr>
      <w:r>
        <w:t>§ 119 odst. 2</w:t>
      </w:r>
    </w:p>
    <w:p w:rsidR="001753A4" w:rsidRDefault="001753A4" w:rsidP="00D20CE3">
      <w:r>
        <w:t>Oprava písařské chyby.</w:t>
      </w:r>
    </w:p>
    <w:p w:rsidR="001753A4" w:rsidRDefault="001753A4" w:rsidP="00901D0C">
      <w:pPr>
        <w:pStyle w:val="Ustanoven"/>
      </w:pPr>
      <w:r>
        <w:t xml:space="preserve">§ 119 odst. </w:t>
      </w:r>
      <w:r w:rsidR="00BE2566">
        <w:t>3 </w:t>
      </w:r>
      <w:r>
        <w:t xml:space="preserve">písm. a), § 119 odst. </w:t>
      </w:r>
      <w:r w:rsidR="00BE2566">
        <w:t>4 </w:t>
      </w:r>
      <w:r>
        <w:t>písm. a)</w:t>
      </w:r>
    </w:p>
    <w:p w:rsidR="009577A9" w:rsidRDefault="009577A9" w:rsidP="009577A9">
      <w:pPr>
        <w:rPr>
          <w:b/>
          <w:bCs/>
          <w:i/>
        </w:rPr>
      </w:pPr>
      <w:r w:rsidRPr="009577A9">
        <w:t xml:space="preserve">Provozovateli distribuční soustavy je poskytnuta přiměřená lhůta alespoň pro provedení </w:t>
      </w:r>
      <w:r w:rsidR="007D0AE3">
        <w:t>pokusu o přerušení dodávky do</w:t>
      </w:r>
      <w:r w:rsidRPr="009577A9">
        <w:t xml:space="preserve"> OM a v případě neúspěšné demontáže také na zaslání výzvy ke zpřístupnění měřícího zařízení tak, aby přiměřená lhůta na zpřístupnění měřícího zařízení mohla být poskytnuta také zákazníkovi.</w:t>
      </w:r>
      <w:r>
        <w:t xml:space="preserve"> V případě zákazníků kategorie VOSO je většina odběrných míst bez součinnosti zákazníka nepřístupná, proto je upravena lhůta pro kontaktování zákazníka a vysvětlení závažnosti situace.</w:t>
      </w:r>
    </w:p>
    <w:p w:rsidR="00B677A6" w:rsidRPr="00F53935" w:rsidRDefault="00B677A6" w:rsidP="00901D0C">
      <w:pPr>
        <w:pStyle w:val="Ustanoven"/>
      </w:pPr>
      <w:r w:rsidRPr="00F53935">
        <w:t xml:space="preserve">§ 121 odst. </w:t>
      </w:r>
      <w:r w:rsidR="00BE2566" w:rsidRPr="00F53935">
        <w:t>1</w:t>
      </w:r>
      <w:r w:rsidR="00BE2566">
        <w:t> </w:t>
      </w:r>
      <w:r w:rsidR="00BE2566" w:rsidRPr="00F53935">
        <w:t>a</w:t>
      </w:r>
      <w:r w:rsidR="00BE2566">
        <w:t> </w:t>
      </w:r>
      <w:r w:rsidRPr="00F53935">
        <w:t>§ 123 odst. 3</w:t>
      </w:r>
    </w:p>
    <w:p w:rsidR="00B677A6" w:rsidRDefault="00B677A6">
      <w:r>
        <w:t>Úprava písařské chyby</w:t>
      </w:r>
    </w:p>
    <w:p w:rsidR="00B677A6" w:rsidRDefault="005962D7" w:rsidP="00901D0C">
      <w:pPr>
        <w:pStyle w:val="Ustanoven"/>
      </w:pPr>
      <w:r w:rsidRPr="00F53935">
        <w:t>Příloha č. 3</w:t>
      </w:r>
    </w:p>
    <w:p w:rsidR="001753A4" w:rsidRPr="00F53935" w:rsidRDefault="001753A4" w:rsidP="00D20CE3">
      <w:r>
        <w:t>Úprava souvisí s body 2.1, 2.</w:t>
      </w:r>
      <w:r w:rsidR="00BE2566">
        <w:t>2 a </w:t>
      </w:r>
      <w:r>
        <w:t>2.3</w:t>
      </w:r>
    </w:p>
    <w:p w:rsidR="005962D7" w:rsidRDefault="005962D7" w:rsidP="00901D0C">
      <w:pPr>
        <w:pStyle w:val="Ustanoven"/>
      </w:pPr>
      <w:r w:rsidRPr="00F53935">
        <w:t>Příloha č. 5</w:t>
      </w:r>
    </w:p>
    <w:p w:rsidR="001753A4" w:rsidRPr="00F53935" w:rsidRDefault="001753A4" w:rsidP="00D20CE3">
      <w:r>
        <w:t>Terminologické zpřesnění eliminující nejasný výklad použitých technických jednotek.</w:t>
      </w:r>
    </w:p>
    <w:p w:rsidR="00B1134B" w:rsidRDefault="00B1134B" w:rsidP="00B1134B">
      <w:pPr>
        <w:pStyle w:val="Ustanoven"/>
      </w:pPr>
      <w:r>
        <w:t xml:space="preserve">Příloha č. </w:t>
      </w:r>
      <w:r w:rsidR="007E62B0">
        <w:t>7 </w:t>
      </w:r>
      <w:r>
        <w:t>odst. 1</w:t>
      </w:r>
    </w:p>
    <w:p w:rsidR="00B1134B" w:rsidRDefault="00B1134B" w:rsidP="00B1134B">
      <w:r>
        <w:t xml:space="preserve">Oprava znaménka </w:t>
      </w:r>
      <w:r w:rsidR="007E62B0">
        <w:t>u </w:t>
      </w:r>
      <w:r>
        <w:t>čísla tak, aby došlo k úpravě logické nesourodosti nastavení limitních podmínek.</w:t>
      </w:r>
    </w:p>
    <w:p w:rsidR="00347B33" w:rsidRDefault="00347B33" w:rsidP="00CD0D9A">
      <w:pPr>
        <w:pStyle w:val="Ustanoven"/>
      </w:pPr>
      <w:r>
        <w:t xml:space="preserve">Příloha č. </w:t>
      </w:r>
      <w:r w:rsidR="007E62B0">
        <w:t>7 </w:t>
      </w:r>
      <w:r>
        <w:t xml:space="preserve">odst. </w:t>
      </w:r>
      <w:r w:rsidR="002954DD">
        <w:t>3</w:t>
      </w:r>
    </w:p>
    <w:p w:rsidR="00347B33" w:rsidRDefault="00347B33" w:rsidP="00B1134B">
      <w:r>
        <w:t xml:space="preserve">Úprava zavádí logické nastavení reflektující skutečnost, že se ceny plynu v rámci jednotlivých produktů mohou lišit.  Úprava zavádí korelaci poslední známé ceny obchodu na vnitrodenním trhu s plynem na konkrétní produkt. </w:t>
      </w:r>
      <w:r w:rsidR="00CD0D9A">
        <w:t xml:space="preserve">V případě, že tato cena nebude existovat, bude cena stanovena jako cena posledního realizovaného obchodu na vnitrodenním trhu </w:t>
      </w:r>
      <w:r w:rsidR="007E62B0">
        <w:t>o </w:t>
      </w:r>
      <w:r w:rsidR="00CD0D9A">
        <w:t>objemu větším nebo rovném 50 MWh.</w:t>
      </w:r>
    </w:p>
    <w:p w:rsidR="00F84CB9" w:rsidRDefault="00F84CB9" w:rsidP="00B1134B">
      <w:pPr>
        <w:pStyle w:val="Ustanoven"/>
      </w:pPr>
      <w:r>
        <w:t xml:space="preserve">Příloha </w:t>
      </w:r>
      <w:r w:rsidR="007E62B0">
        <w:t>8 </w:t>
      </w:r>
      <w:r w:rsidR="00447389">
        <w:t xml:space="preserve">odst. </w:t>
      </w:r>
      <w:r w:rsidR="00887BB8">
        <w:t>1 a </w:t>
      </w:r>
      <w:r w:rsidR="00815A3A">
        <w:t>2</w:t>
      </w:r>
    </w:p>
    <w:p w:rsidR="00447389" w:rsidRDefault="00447389">
      <w:r>
        <w:t xml:space="preserve">Oprava odkazů v rámci vyhlášky. Z obsahu přílohy č. </w:t>
      </w:r>
      <w:r w:rsidR="007E62B0">
        <w:t>8 </w:t>
      </w:r>
      <w:r>
        <w:t xml:space="preserve">je zřejmé, že se odstavec </w:t>
      </w:r>
      <w:r w:rsidR="007E62B0">
        <w:t>1 </w:t>
      </w:r>
      <w:r>
        <w:t xml:space="preserve">musí odkazovat stejně jako odstavec </w:t>
      </w:r>
      <w:r w:rsidR="007E62B0">
        <w:t>2 </w:t>
      </w:r>
      <w:r>
        <w:t>na přílohu č. 7.</w:t>
      </w:r>
    </w:p>
    <w:p w:rsidR="00CD0D9A" w:rsidRDefault="00CD0D9A" w:rsidP="00CD0D9A">
      <w:pPr>
        <w:pStyle w:val="Ustanoven"/>
      </w:pPr>
      <w:r>
        <w:t xml:space="preserve">Příloha </w:t>
      </w:r>
      <w:r w:rsidR="007E62B0">
        <w:t>8 </w:t>
      </w:r>
      <w:r>
        <w:t>odst. 2</w:t>
      </w:r>
    </w:p>
    <w:p w:rsidR="00F84CB9" w:rsidRDefault="00C4445A">
      <w:r>
        <w:t xml:space="preserve">Oprava </w:t>
      </w:r>
      <w:r w:rsidR="00CD0D9A">
        <w:t xml:space="preserve">logické nesourodosti nastavení </w:t>
      </w:r>
      <w:r>
        <w:t xml:space="preserve">technických jednotek </w:t>
      </w:r>
      <w:r w:rsidR="0087640A">
        <w:t>u </w:t>
      </w:r>
      <w:r w:rsidR="00CD0D9A">
        <w:t>limitních podmínek.</w:t>
      </w:r>
    </w:p>
    <w:p w:rsidR="00DD1AB1" w:rsidRDefault="00CD0D9A" w:rsidP="00415DBF">
      <w:pPr>
        <w:pStyle w:val="Ustanoven"/>
      </w:pPr>
      <w:r>
        <w:t xml:space="preserve">Příloha č. </w:t>
      </w:r>
      <w:r w:rsidR="007E62B0">
        <w:t>8 </w:t>
      </w:r>
      <w:r>
        <w:t xml:space="preserve">odst. </w:t>
      </w:r>
      <w:r w:rsidR="007E62B0">
        <w:t>3 </w:t>
      </w:r>
    </w:p>
    <w:p w:rsidR="00CD0D9A" w:rsidRDefault="00CD0D9A" w:rsidP="00901D0C">
      <w:r>
        <w:t xml:space="preserve">Úprava zavádí logické nastavení reflektující skutečnost, že se ceny plynu v rámci jednotlivých produktů mohou lišit.  Úprava zavádí korelaci poslední známé ceny obchodu na vnitrodenním trhu s plynem na konkrétní produkt. V případě, že tato cena nebude existovat, bude cena stanovena jako cena posledního realizovaného obchodu na vnitrodenním trhu </w:t>
      </w:r>
      <w:r w:rsidR="007E62B0">
        <w:t>o </w:t>
      </w:r>
      <w:r>
        <w:t>objemu větším nebo rovném 50 MWh.</w:t>
      </w:r>
    </w:p>
    <w:p w:rsidR="005962D7" w:rsidRDefault="005962D7" w:rsidP="00CD0D9A">
      <w:pPr>
        <w:pStyle w:val="Ustanoven"/>
      </w:pPr>
      <w:r>
        <w:t xml:space="preserve">Příloha č. 19 část </w:t>
      </w:r>
      <w:r w:rsidR="00BE2566">
        <w:t>A </w:t>
      </w:r>
      <w:r>
        <w:t>odst. II bod 2</w:t>
      </w:r>
    </w:p>
    <w:p w:rsidR="00AB34A5" w:rsidRDefault="00AB34A5" w:rsidP="00901D0C">
      <w:r>
        <w:t xml:space="preserve">Oprava nelogického určení vstupních </w:t>
      </w:r>
      <w:r w:rsidR="00BE2566">
        <w:t>a </w:t>
      </w:r>
      <w:r>
        <w:t>výstupních bodů</w:t>
      </w:r>
    </w:p>
    <w:p w:rsidR="00CD0D9A" w:rsidRDefault="00CD0D9A" w:rsidP="00CD0D9A">
      <w:pPr>
        <w:pStyle w:val="Ustanoven"/>
      </w:pPr>
      <w:r>
        <w:t xml:space="preserve">Příloha č. 19 část </w:t>
      </w:r>
      <w:r w:rsidR="007E62B0">
        <w:t>C </w:t>
      </w:r>
      <w:r>
        <w:t xml:space="preserve">odst. </w:t>
      </w:r>
      <w:r w:rsidR="007E62B0">
        <w:t>I </w:t>
      </w:r>
      <w:r>
        <w:t xml:space="preserve">bod </w:t>
      </w:r>
      <w:r w:rsidR="007E62B0">
        <w:t>1 </w:t>
      </w:r>
      <w:r>
        <w:t>písm. f)</w:t>
      </w:r>
    </w:p>
    <w:p w:rsidR="00CD0D9A" w:rsidRDefault="00CD0D9A">
      <w:r>
        <w:t xml:space="preserve">Úprava opravuje použité jednotky tak, aby odrážely skutečný </w:t>
      </w:r>
      <w:r w:rsidR="007E62B0">
        <w:t>a </w:t>
      </w:r>
      <w:r>
        <w:t>logicky správný charakter ceny.</w:t>
      </w:r>
    </w:p>
    <w:sectPr w:rsidR="00CD0D9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BD" w:rsidRDefault="00A24ABD" w:rsidP="000E3107">
      <w:pPr>
        <w:spacing w:before="0" w:after="0"/>
      </w:pPr>
      <w:r>
        <w:separator/>
      </w:r>
    </w:p>
  </w:endnote>
  <w:endnote w:type="continuationSeparator" w:id="0">
    <w:p w:rsidR="00A24ABD" w:rsidRDefault="00A24ABD" w:rsidP="000E3107">
      <w:pPr>
        <w:spacing w:before="0" w:after="0"/>
      </w:pPr>
      <w:r>
        <w:continuationSeparator/>
      </w:r>
    </w:p>
  </w:endnote>
  <w:endnote w:type="continuationNotice" w:id="1">
    <w:p w:rsidR="00A24ABD" w:rsidRDefault="00A24A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53" w:rsidRDefault="00334A5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936599"/>
      <w:docPartObj>
        <w:docPartGallery w:val="Page Numbers (Bottom of Page)"/>
        <w:docPartUnique/>
      </w:docPartObj>
    </w:sdtPr>
    <w:sdtEndPr/>
    <w:sdtContent>
      <w:sdt>
        <w:sdtPr>
          <w:id w:val="860082579"/>
          <w:docPartObj>
            <w:docPartGallery w:val="Page Numbers (Top of Page)"/>
            <w:docPartUnique/>
          </w:docPartObj>
        </w:sdtPr>
        <w:sdtEndPr/>
        <w:sdtContent>
          <w:p w:rsidR="00A24ABD" w:rsidRDefault="00A24ABD">
            <w:pPr>
              <w:pStyle w:val="Zpat"/>
              <w:jc w:val="right"/>
            </w:pPr>
            <w:r>
              <w:rPr>
                <w:b/>
                <w:bCs/>
                <w:sz w:val="24"/>
                <w:szCs w:val="24"/>
              </w:rPr>
              <w:fldChar w:fldCharType="begin"/>
            </w:r>
            <w:r>
              <w:rPr>
                <w:b/>
                <w:bCs/>
              </w:rPr>
              <w:instrText>PAGE</w:instrText>
            </w:r>
            <w:r>
              <w:rPr>
                <w:b/>
                <w:bCs/>
                <w:sz w:val="24"/>
                <w:szCs w:val="24"/>
              </w:rPr>
              <w:fldChar w:fldCharType="separate"/>
            </w:r>
            <w:r w:rsidR="00334A53">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34A53">
              <w:rPr>
                <w:b/>
                <w:bCs/>
                <w:noProof/>
              </w:rPr>
              <w:t>28</w:t>
            </w:r>
            <w:r>
              <w:rPr>
                <w:b/>
                <w:bCs/>
                <w:sz w:val="24"/>
                <w:szCs w:val="24"/>
              </w:rPr>
              <w:fldChar w:fldCharType="end"/>
            </w:r>
          </w:p>
        </w:sdtContent>
      </w:sdt>
    </w:sdtContent>
  </w:sdt>
  <w:p w:rsidR="00A24ABD" w:rsidRDefault="00A24AB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53" w:rsidRDefault="00334A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BD" w:rsidRDefault="00A24ABD" w:rsidP="000E3107">
      <w:pPr>
        <w:spacing w:before="0" w:after="0"/>
      </w:pPr>
      <w:r>
        <w:separator/>
      </w:r>
    </w:p>
  </w:footnote>
  <w:footnote w:type="continuationSeparator" w:id="0">
    <w:p w:rsidR="00A24ABD" w:rsidRDefault="00A24ABD" w:rsidP="000E3107">
      <w:pPr>
        <w:spacing w:before="0" w:after="0"/>
      </w:pPr>
      <w:r>
        <w:continuationSeparator/>
      </w:r>
    </w:p>
  </w:footnote>
  <w:footnote w:type="continuationNotice" w:id="1">
    <w:p w:rsidR="00A24ABD" w:rsidRDefault="00A24AB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53" w:rsidRDefault="00334A5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53" w:rsidRDefault="00334A5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53" w:rsidRDefault="00334A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8D21163"/>
    <w:multiLevelType w:val="multilevel"/>
    <w:tmpl w:val="884093BA"/>
    <w:lvl w:ilvl="0">
      <w:start w:val="1"/>
      <w:numFmt w:val="decimal"/>
      <w:lvlText w:val="%1."/>
      <w:lvlJc w:val="left"/>
      <w:pPr>
        <w:ind w:left="360" w:hanging="360"/>
      </w:pPr>
      <w:rPr>
        <w:rFonts w:hint="default"/>
      </w:rPr>
    </w:lvl>
    <w:lvl w:ilvl="1">
      <w:start w:val="1"/>
      <w:numFmt w:val="decimal"/>
      <w:pStyle w:val="Nadpis3-zvren"/>
      <w:lvlText w:val="%1.%2."/>
      <w:lvlJc w:val="left"/>
      <w:pPr>
        <w:ind w:left="792" w:hanging="432"/>
      </w:pPr>
      <w:rPr>
        <w:rFonts w:hint="default"/>
      </w:rPr>
    </w:lvl>
    <w:lvl w:ilvl="2">
      <w:start w:val="1"/>
      <w:numFmt w:val="decimal"/>
      <w:pStyle w:val="Nadpis4-zvren"/>
      <w:lvlText w:val="%1.%2.%3."/>
      <w:lvlJc w:val="left"/>
      <w:pPr>
        <w:ind w:left="1224" w:hanging="504"/>
      </w:pPr>
      <w:rPr>
        <w:rFonts w:hint="default"/>
      </w:rPr>
    </w:lvl>
    <w:lvl w:ilvl="3">
      <w:start w:val="1"/>
      <w:numFmt w:val="decimal"/>
      <w:pStyle w:val="Nadpis5-zvre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3B4441"/>
    <w:multiLevelType w:val="hybridMultilevel"/>
    <w:tmpl w:val="81F4D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955F10"/>
    <w:multiLevelType w:val="hybridMultilevel"/>
    <w:tmpl w:val="77AEE3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496739"/>
    <w:multiLevelType w:val="multilevel"/>
    <w:tmpl w:val="6804C7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EA007B"/>
    <w:multiLevelType w:val="hybridMultilevel"/>
    <w:tmpl w:val="3D960B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0305A6"/>
    <w:multiLevelType w:val="hybridMultilevel"/>
    <w:tmpl w:val="9E7A4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05F5ABE"/>
    <w:multiLevelType w:val="hybridMultilevel"/>
    <w:tmpl w:val="F4D42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00678BC"/>
    <w:multiLevelType w:val="hybridMultilevel"/>
    <w:tmpl w:val="24A66FBC"/>
    <w:lvl w:ilvl="0" w:tplc="D8C829E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1B45832"/>
    <w:multiLevelType w:val="hybridMultilevel"/>
    <w:tmpl w:val="75B41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6AC0780"/>
    <w:multiLevelType w:val="hybridMultilevel"/>
    <w:tmpl w:val="C0867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E96272A"/>
    <w:multiLevelType w:val="multilevel"/>
    <w:tmpl w:val="789A251E"/>
    <w:lvl w:ilvl="0">
      <w:start w:val="1"/>
      <w:numFmt w:val="decimal"/>
      <w:pStyle w:val="Nadpis2-zvre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AA70A0F"/>
    <w:multiLevelType w:val="hybridMultilevel"/>
    <w:tmpl w:val="0818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0D80FD6"/>
    <w:multiLevelType w:val="hybridMultilevel"/>
    <w:tmpl w:val="F3E8A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7EC1EF7"/>
    <w:multiLevelType w:val="hybridMultilevel"/>
    <w:tmpl w:val="6C86C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EFD1D47"/>
    <w:multiLevelType w:val="hybridMultilevel"/>
    <w:tmpl w:val="B6C41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266107C"/>
    <w:multiLevelType w:val="hybridMultilevel"/>
    <w:tmpl w:val="4FAA9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73F105F"/>
    <w:multiLevelType w:val="hybridMultilevel"/>
    <w:tmpl w:val="619E6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9630FF7"/>
    <w:multiLevelType w:val="hybridMultilevel"/>
    <w:tmpl w:val="7722B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5"/>
  </w:num>
  <w:num w:numId="5">
    <w:abstractNumId w:val="5"/>
  </w:num>
  <w:num w:numId="6">
    <w:abstractNumId w:val="4"/>
  </w:num>
  <w:num w:numId="7">
    <w:abstractNumId w:val="13"/>
  </w:num>
  <w:num w:numId="8">
    <w:abstractNumId w:val="2"/>
  </w:num>
  <w:num w:numId="9">
    <w:abstractNumId w:val="12"/>
  </w:num>
  <w:num w:numId="10">
    <w:abstractNumId w:val="1"/>
  </w:num>
  <w:num w:numId="11">
    <w:abstractNumId w:val="3"/>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11"/>
  </w:num>
  <w:num w:numId="17">
    <w:abstractNumId w:val="16"/>
  </w:num>
  <w:num w:numId="18">
    <w:abstractNumId w:val="6"/>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E0"/>
    <w:rsid w:val="000072D3"/>
    <w:rsid w:val="00013122"/>
    <w:rsid w:val="00016A8A"/>
    <w:rsid w:val="00017DCC"/>
    <w:rsid w:val="00035639"/>
    <w:rsid w:val="000361C9"/>
    <w:rsid w:val="00062539"/>
    <w:rsid w:val="00073FD8"/>
    <w:rsid w:val="0007579B"/>
    <w:rsid w:val="00077D02"/>
    <w:rsid w:val="00084C14"/>
    <w:rsid w:val="000959E1"/>
    <w:rsid w:val="000A1223"/>
    <w:rsid w:val="000B5E8B"/>
    <w:rsid w:val="000E3107"/>
    <w:rsid w:val="000F3BF1"/>
    <w:rsid w:val="000F45C8"/>
    <w:rsid w:val="001014F9"/>
    <w:rsid w:val="00102A61"/>
    <w:rsid w:val="00114609"/>
    <w:rsid w:val="00116EE6"/>
    <w:rsid w:val="001221E8"/>
    <w:rsid w:val="00131B25"/>
    <w:rsid w:val="00142375"/>
    <w:rsid w:val="001522DD"/>
    <w:rsid w:val="00152986"/>
    <w:rsid w:val="00152C81"/>
    <w:rsid w:val="001563B6"/>
    <w:rsid w:val="00162774"/>
    <w:rsid w:val="00167C5F"/>
    <w:rsid w:val="001714E2"/>
    <w:rsid w:val="001721A2"/>
    <w:rsid w:val="0017478C"/>
    <w:rsid w:val="001753A4"/>
    <w:rsid w:val="00180AC8"/>
    <w:rsid w:val="00186AA8"/>
    <w:rsid w:val="0019440F"/>
    <w:rsid w:val="00195F33"/>
    <w:rsid w:val="001A680E"/>
    <w:rsid w:val="001B11DC"/>
    <w:rsid w:val="001B14C4"/>
    <w:rsid w:val="001B196B"/>
    <w:rsid w:val="001B4E86"/>
    <w:rsid w:val="001D1BEA"/>
    <w:rsid w:val="001D1D77"/>
    <w:rsid w:val="001D5CAA"/>
    <w:rsid w:val="001E2824"/>
    <w:rsid w:val="001E6D5A"/>
    <w:rsid w:val="001F67BE"/>
    <w:rsid w:val="0020639B"/>
    <w:rsid w:val="00212319"/>
    <w:rsid w:val="00214920"/>
    <w:rsid w:val="002160BF"/>
    <w:rsid w:val="00221458"/>
    <w:rsid w:val="00227527"/>
    <w:rsid w:val="0023294D"/>
    <w:rsid w:val="00233672"/>
    <w:rsid w:val="00233D90"/>
    <w:rsid w:val="0023660F"/>
    <w:rsid w:val="002522D5"/>
    <w:rsid w:val="00253061"/>
    <w:rsid w:val="0026171D"/>
    <w:rsid w:val="002637D4"/>
    <w:rsid w:val="002778D1"/>
    <w:rsid w:val="00282F2E"/>
    <w:rsid w:val="002954DD"/>
    <w:rsid w:val="002A0B97"/>
    <w:rsid w:val="002A507D"/>
    <w:rsid w:val="002A73D5"/>
    <w:rsid w:val="002B1C30"/>
    <w:rsid w:val="002B5352"/>
    <w:rsid w:val="002D20F7"/>
    <w:rsid w:val="002D38D1"/>
    <w:rsid w:val="002F144D"/>
    <w:rsid w:val="0030588A"/>
    <w:rsid w:val="003058A9"/>
    <w:rsid w:val="00310953"/>
    <w:rsid w:val="003122BA"/>
    <w:rsid w:val="003165C6"/>
    <w:rsid w:val="00334A53"/>
    <w:rsid w:val="00347B33"/>
    <w:rsid w:val="0035728E"/>
    <w:rsid w:val="003746FB"/>
    <w:rsid w:val="003921FC"/>
    <w:rsid w:val="003A70A4"/>
    <w:rsid w:val="003B7DCF"/>
    <w:rsid w:val="003C4FF2"/>
    <w:rsid w:val="003C517D"/>
    <w:rsid w:val="003C770C"/>
    <w:rsid w:val="003D10B5"/>
    <w:rsid w:val="003D1F61"/>
    <w:rsid w:val="003D43AB"/>
    <w:rsid w:val="003E0D86"/>
    <w:rsid w:val="003E1719"/>
    <w:rsid w:val="003E3414"/>
    <w:rsid w:val="003E7EAC"/>
    <w:rsid w:val="003F20AA"/>
    <w:rsid w:val="00405448"/>
    <w:rsid w:val="004140E5"/>
    <w:rsid w:val="00415DBF"/>
    <w:rsid w:val="00424E9C"/>
    <w:rsid w:val="00431ED6"/>
    <w:rsid w:val="0044259B"/>
    <w:rsid w:val="00447389"/>
    <w:rsid w:val="00451070"/>
    <w:rsid w:val="00453268"/>
    <w:rsid w:val="004618E7"/>
    <w:rsid w:val="00481523"/>
    <w:rsid w:val="00486323"/>
    <w:rsid w:val="00487048"/>
    <w:rsid w:val="00493CC4"/>
    <w:rsid w:val="004A0967"/>
    <w:rsid w:val="004A15C5"/>
    <w:rsid w:val="004B151D"/>
    <w:rsid w:val="004B1E9A"/>
    <w:rsid w:val="004C19B7"/>
    <w:rsid w:val="004C710A"/>
    <w:rsid w:val="004D0861"/>
    <w:rsid w:val="004D4E52"/>
    <w:rsid w:val="004E3B64"/>
    <w:rsid w:val="004E475C"/>
    <w:rsid w:val="004F1E0E"/>
    <w:rsid w:val="004F33E5"/>
    <w:rsid w:val="004F4C96"/>
    <w:rsid w:val="00500755"/>
    <w:rsid w:val="0050123E"/>
    <w:rsid w:val="00502F05"/>
    <w:rsid w:val="0050728D"/>
    <w:rsid w:val="00521677"/>
    <w:rsid w:val="00522065"/>
    <w:rsid w:val="0052386D"/>
    <w:rsid w:val="00523B74"/>
    <w:rsid w:val="00533606"/>
    <w:rsid w:val="005465C6"/>
    <w:rsid w:val="005508D2"/>
    <w:rsid w:val="00561A99"/>
    <w:rsid w:val="00562764"/>
    <w:rsid w:val="00566AE0"/>
    <w:rsid w:val="005719B3"/>
    <w:rsid w:val="00573ABF"/>
    <w:rsid w:val="00577D26"/>
    <w:rsid w:val="00584A58"/>
    <w:rsid w:val="00591A23"/>
    <w:rsid w:val="00593B36"/>
    <w:rsid w:val="005962D7"/>
    <w:rsid w:val="005A0313"/>
    <w:rsid w:val="005A252F"/>
    <w:rsid w:val="005A4867"/>
    <w:rsid w:val="005B094E"/>
    <w:rsid w:val="005D2513"/>
    <w:rsid w:val="005D6670"/>
    <w:rsid w:val="005E3735"/>
    <w:rsid w:val="005F2158"/>
    <w:rsid w:val="005F65FC"/>
    <w:rsid w:val="00601A4D"/>
    <w:rsid w:val="0061141A"/>
    <w:rsid w:val="00612ABD"/>
    <w:rsid w:val="0061358F"/>
    <w:rsid w:val="006166AC"/>
    <w:rsid w:val="00627DB0"/>
    <w:rsid w:val="00637B1B"/>
    <w:rsid w:val="006405D8"/>
    <w:rsid w:val="00641FE5"/>
    <w:rsid w:val="00646986"/>
    <w:rsid w:val="0064748E"/>
    <w:rsid w:val="00662A6B"/>
    <w:rsid w:val="00663009"/>
    <w:rsid w:val="00663AFE"/>
    <w:rsid w:val="006649B4"/>
    <w:rsid w:val="006759B4"/>
    <w:rsid w:val="006813B2"/>
    <w:rsid w:val="006822AF"/>
    <w:rsid w:val="006867E3"/>
    <w:rsid w:val="006876F9"/>
    <w:rsid w:val="00687844"/>
    <w:rsid w:val="006930CA"/>
    <w:rsid w:val="006938FA"/>
    <w:rsid w:val="006A056D"/>
    <w:rsid w:val="006A5E33"/>
    <w:rsid w:val="006A722C"/>
    <w:rsid w:val="006A7E6A"/>
    <w:rsid w:val="006B1333"/>
    <w:rsid w:val="006C3BD6"/>
    <w:rsid w:val="006D2600"/>
    <w:rsid w:val="006E055B"/>
    <w:rsid w:val="006F5B55"/>
    <w:rsid w:val="00700379"/>
    <w:rsid w:val="00715858"/>
    <w:rsid w:val="0071642D"/>
    <w:rsid w:val="00723D15"/>
    <w:rsid w:val="007400FA"/>
    <w:rsid w:val="00751E85"/>
    <w:rsid w:val="00752C13"/>
    <w:rsid w:val="0075415B"/>
    <w:rsid w:val="0078775B"/>
    <w:rsid w:val="007901FD"/>
    <w:rsid w:val="0079327E"/>
    <w:rsid w:val="007A3246"/>
    <w:rsid w:val="007B738E"/>
    <w:rsid w:val="007C60B6"/>
    <w:rsid w:val="007D0AE3"/>
    <w:rsid w:val="007D43B7"/>
    <w:rsid w:val="007D6234"/>
    <w:rsid w:val="007E25E6"/>
    <w:rsid w:val="007E62B0"/>
    <w:rsid w:val="007F2932"/>
    <w:rsid w:val="007F462D"/>
    <w:rsid w:val="0080161F"/>
    <w:rsid w:val="0080479F"/>
    <w:rsid w:val="00815A3A"/>
    <w:rsid w:val="00816068"/>
    <w:rsid w:val="00820B56"/>
    <w:rsid w:val="00826DAC"/>
    <w:rsid w:val="00827AEC"/>
    <w:rsid w:val="00834C31"/>
    <w:rsid w:val="00842813"/>
    <w:rsid w:val="00851BAD"/>
    <w:rsid w:val="00853446"/>
    <w:rsid w:val="0085644B"/>
    <w:rsid w:val="008604FE"/>
    <w:rsid w:val="008730CA"/>
    <w:rsid w:val="008742D7"/>
    <w:rsid w:val="0087640A"/>
    <w:rsid w:val="00887BB8"/>
    <w:rsid w:val="008B4E8D"/>
    <w:rsid w:val="008B5AF8"/>
    <w:rsid w:val="008B624B"/>
    <w:rsid w:val="008C353C"/>
    <w:rsid w:val="008D3CED"/>
    <w:rsid w:val="008D4B91"/>
    <w:rsid w:val="008D57EE"/>
    <w:rsid w:val="008E66A9"/>
    <w:rsid w:val="008F282A"/>
    <w:rsid w:val="00901D0C"/>
    <w:rsid w:val="00906CC4"/>
    <w:rsid w:val="0092163D"/>
    <w:rsid w:val="009221FE"/>
    <w:rsid w:val="00923187"/>
    <w:rsid w:val="00924EFE"/>
    <w:rsid w:val="00924FC1"/>
    <w:rsid w:val="009456B5"/>
    <w:rsid w:val="009470E4"/>
    <w:rsid w:val="00956403"/>
    <w:rsid w:val="009577A9"/>
    <w:rsid w:val="009626C9"/>
    <w:rsid w:val="00967E37"/>
    <w:rsid w:val="00972511"/>
    <w:rsid w:val="00977F56"/>
    <w:rsid w:val="009856E4"/>
    <w:rsid w:val="00986798"/>
    <w:rsid w:val="00986D72"/>
    <w:rsid w:val="009A3C60"/>
    <w:rsid w:val="009C0F39"/>
    <w:rsid w:val="009C36AA"/>
    <w:rsid w:val="009C58D9"/>
    <w:rsid w:val="009D4A52"/>
    <w:rsid w:val="009E21AE"/>
    <w:rsid w:val="009E25B2"/>
    <w:rsid w:val="009E262F"/>
    <w:rsid w:val="00A02A7F"/>
    <w:rsid w:val="00A030EB"/>
    <w:rsid w:val="00A04F9D"/>
    <w:rsid w:val="00A06265"/>
    <w:rsid w:val="00A071AF"/>
    <w:rsid w:val="00A164BC"/>
    <w:rsid w:val="00A2260E"/>
    <w:rsid w:val="00A24ABD"/>
    <w:rsid w:val="00A32338"/>
    <w:rsid w:val="00A35E1F"/>
    <w:rsid w:val="00A37826"/>
    <w:rsid w:val="00A52D97"/>
    <w:rsid w:val="00A56324"/>
    <w:rsid w:val="00A60D52"/>
    <w:rsid w:val="00A64709"/>
    <w:rsid w:val="00A64B18"/>
    <w:rsid w:val="00A7035F"/>
    <w:rsid w:val="00A761ED"/>
    <w:rsid w:val="00AA095D"/>
    <w:rsid w:val="00AA5E12"/>
    <w:rsid w:val="00AB2287"/>
    <w:rsid w:val="00AB34A5"/>
    <w:rsid w:val="00AB76CE"/>
    <w:rsid w:val="00AC3712"/>
    <w:rsid w:val="00AD3700"/>
    <w:rsid w:val="00AF3C06"/>
    <w:rsid w:val="00AF4404"/>
    <w:rsid w:val="00B0672E"/>
    <w:rsid w:val="00B1134B"/>
    <w:rsid w:val="00B129F1"/>
    <w:rsid w:val="00B2536F"/>
    <w:rsid w:val="00B31A0A"/>
    <w:rsid w:val="00B441A9"/>
    <w:rsid w:val="00B62D6E"/>
    <w:rsid w:val="00B634E0"/>
    <w:rsid w:val="00B66AAE"/>
    <w:rsid w:val="00B677A6"/>
    <w:rsid w:val="00B67F17"/>
    <w:rsid w:val="00B72B23"/>
    <w:rsid w:val="00B744A9"/>
    <w:rsid w:val="00B748DD"/>
    <w:rsid w:val="00B76552"/>
    <w:rsid w:val="00B814D8"/>
    <w:rsid w:val="00B821EE"/>
    <w:rsid w:val="00B838E5"/>
    <w:rsid w:val="00B92FA5"/>
    <w:rsid w:val="00BB052E"/>
    <w:rsid w:val="00BB1DE9"/>
    <w:rsid w:val="00BB1FA7"/>
    <w:rsid w:val="00BC519E"/>
    <w:rsid w:val="00BC6352"/>
    <w:rsid w:val="00BD43D3"/>
    <w:rsid w:val="00BE2566"/>
    <w:rsid w:val="00BE7756"/>
    <w:rsid w:val="00BF3981"/>
    <w:rsid w:val="00BF704E"/>
    <w:rsid w:val="00C00585"/>
    <w:rsid w:val="00C04E40"/>
    <w:rsid w:val="00C12D6C"/>
    <w:rsid w:val="00C15187"/>
    <w:rsid w:val="00C2389E"/>
    <w:rsid w:val="00C33EE2"/>
    <w:rsid w:val="00C3526A"/>
    <w:rsid w:val="00C43944"/>
    <w:rsid w:val="00C4445A"/>
    <w:rsid w:val="00C50414"/>
    <w:rsid w:val="00C528D4"/>
    <w:rsid w:val="00C7139A"/>
    <w:rsid w:val="00C80EB2"/>
    <w:rsid w:val="00C8673E"/>
    <w:rsid w:val="00C90DAC"/>
    <w:rsid w:val="00C97180"/>
    <w:rsid w:val="00CA3119"/>
    <w:rsid w:val="00CA4E5C"/>
    <w:rsid w:val="00CB18AE"/>
    <w:rsid w:val="00CB2507"/>
    <w:rsid w:val="00CB5FB1"/>
    <w:rsid w:val="00CB786A"/>
    <w:rsid w:val="00CB7A7A"/>
    <w:rsid w:val="00CC740C"/>
    <w:rsid w:val="00CD0390"/>
    <w:rsid w:val="00CD0D9A"/>
    <w:rsid w:val="00CD7EBA"/>
    <w:rsid w:val="00CE13B2"/>
    <w:rsid w:val="00CF6DF8"/>
    <w:rsid w:val="00D05251"/>
    <w:rsid w:val="00D11E75"/>
    <w:rsid w:val="00D20CE3"/>
    <w:rsid w:val="00D242F8"/>
    <w:rsid w:val="00D24C66"/>
    <w:rsid w:val="00D254A6"/>
    <w:rsid w:val="00D26129"/>
    <w:rsid w:val="00D5413B"/>
    <w:rsid w:val="00D57715"/>
    <w:rsid w:val="00D57ADA"/>
    <w:rsid w:val="00D641A9"/>
    <w:rsid w:val="00D646C0"/>
    <w:rsid w:val="00D75F35"/>
    <w:rsid w:val="00D86B18"/>
    <w:rsid w:val="00D9721F"/>
    <w:rsid w:val="00DB055F"/>
    <w:rsid w:val="00DB33DB"/>
    <w:rsid w:val="00DB3674"/>
    <w:rsid w:val="00DC1530"/>
    <w:rsid w:val="00DC2093"/>
    <w:rsid w:val="00DC5A28"/>
    <w:rsid w:val="00DD03DC"/>
    <w:rsid w:val="00DD04EA"/>
    <w:rsid w:val="00DD1AB1"/>
    <w:rsid w:val="00DE0967"/>
    <w:rsid w:val="00DF68D4"/>
    <w:rsid w:val="00E015A4"/>
    <w:rsid w:val="00E028C6"/>
    <w:rsid w:val="00E04F4C"/>
    <w:rsid w:val="00E23A26"/>
    <w:rsid w:val="00E30AD4"/>
    <w:rsid w:val="00E30B96"/>
    <w:rsid w:val="00E32830"/>
    <w:rsid w:val="00E32E28"/>
    <w:rsid w:val="00E35529"/>
    <w:rsid w:val="00E431FD"/>
    <w:rsid w:val="00E62055"/>
    <w:rsid w:val="00E63515"/>
    <w:rsid w:val="00E67C44"/>
    <w:rsid w:val="00E80A7D"/>
    <w:rsid w:val="00E94DA1"/>
    <w:rsid w:val="00EB66E9"/>
    <w:rsid w:val="00EC5DDE"/>
    <w:rsid w:val="00EC71D4"/>
    <w:rsid w:val="00EE6672"/>
    <w:rsid w:val="00F1531F"/>
    <w:rsid w:val="00F16A05"/>
    <w:rsid w:val="00F16C9A"/>
    <w:rsid w:val="00F220AF"/>
    <w:rsid w:val="00F22AFB"/>
    <w:rsid w:val="00F25577"/>
    <w:rsid w:val="00F2640F"/>
    <w:rsid w:val="00F33F02"/>
    <w:rsid w:val="00F35CD8"/>
    <w:rsid w:val="00F50CF2"/>
    <w:rsid w:val="00F53935"/>
    <w:rsid w:val="00F62443"/>
    <w:rsid w:val="00F62E1B"/>
    <w:rsid w:val="00F7271D"/>
    <w:rsid w:val="00F84CB9"/>
    <w:rsid w:val="00F95E07"/>
    <w:rsid w:val="00FA2B0F"/>
    <w:rsid w:val="00FB3C16"/>
    <w:rsid w:val="00FB45A7"/>
    <w:rsid w:val="00FB5E9E"/>
    <w:rsid w:val="00FB7D50"/>
    <w:rsid w:val="00FC31E5"/>
    <w:rsid w:val="00FD08DF"/>
    <w:rsid w:val="00FE306D"/>
    <w:rsid w:val="00FE366F"/>
    <w:rsid w:val="00FF4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3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2AF"/>
    <w:pPr>
      <w:spacing w:before="240" w:after="240" w:line="240" w:lineRule="auto"/>
      <w:jc w:val="both"/>
    </w:pPr>
    <w:rPr>
      <w:rFonts w:ascii="Cambria" w:hAnsi="Cambria"/>
    </w:rPr>
  </w:style>
  <w:style w:type="paragraph" w:styleId="Nadpis1">
    <w:name w:val="heading 1"/>
    <w:basedOn w:val="Normln"/>
    <w:next w:val="Normln"/>
    <w:link w:val="Nadpis1Char"/>
    <w:uiPriority w:val="9"/>
    <w:qFormat/>
    <w:rsid w:val="001A680E"/>
    <w:pPr>
      <w:keepNext/>
      <w:keepLines/>
      <w:spacing w:before="480" w:after="0"/>
      <w:outlineLvl w:val="0"/>
    </w:pPr>
    <w:rPr>
      <w:rFonts w:asciiTheme="majorHAnsi" w:eastAsiaTheme="majorEastAsia" w:hAnsiTheme="majorHAnsi" w:cstheme="majorBidi"/>
      <w:b/>
      <w:bCs/>
      <w:color w:val="E80061" w:themeColor="accent1" w:themeShade="BF"/>
      <w:sz w:val="28"/>
      <w:szCs w:val="28"/>
      <w:u w:val="single"/>
    </w:rPr>
  </w:style>
  <w:style w:type="paragraph" w:styleId="Nadpis2">
    <w:name w:val="heading 2"/>
    <w:basedOn w:val="Normln"/>
    <w:next w:val="Normln"/>
    <w:link w:val="Nadpis2Char"/>
    <w:uiPriority w:val="9"/>
    <w:unhideWhenUsed/>
    <w:qFormat/>
    <w:rsid w:val="00612ABD"/>
    <w:pPr>
      <w:keepNext/>
      <w:keepLines/>
      <w:spacing w:before="200" w:after="0"/>
      <w:outlineLvl w:val="1"/>
    </w:pPr>
    <w:rPr>
      <w:rFonts w:asciiTheme="majorHAnsi" w:eastAsiaTheme="majorEastAsia" w:hAnsiTheme="majorHAnsi" w:cstheme="majorBidi"/>
      <w:b/>
      <w:bCs/>
      <w:color w:val="FF388C" w:themeColor="accent1"/>
      <w:sz w:val="26"/>
      <w:szCs w:val="26"/>
    </w:rPr>
  </w:style>
  <w:style w:type="paragraph" w:styleId="Nadpis3">
    <w:name w:val="heading 3"/>
    <w:basedOn w:val="Normln"/>
    <w:next w:val="Normln"/>
    <w:link w:val="Nadpis3Char"/>
    <w:uiPriority w:val="9"/>
    <w:unhideWhenUsed/>
    <w:qFormat/>
    <w:rsid w:val="00DD04EA"/>
    <w:pPr>
      <w:keepNext/>
      <w:keepLines/>
      <w:spacing w:before="200" w:after="0"/>
      <w:outlineLvl w:val="2"/>
    </w:pPr>
    <w:rPr>
      <w:rFonts w:asciiTheme="majorHAnsi" w:eastAsiaTheme="majorEastAsia" w:hAnsiTheme="majorHAnsi" w:cstheme="majorBidi"/>
      <w:b/>
      <w:bCs/>
      <w:color w:val="FF388C" w:themeColor="accent1"/>
    </w:rPr>
  </w:style>
  <w:style w:type="paragraph" w:styleId="Nadpis4">
    <w:name w:val="heading 4"/>
    <w:basedOn w:val="Normln"/>
    <w:next w:val="Normln"/>
    <w:link w:val="Nadpis4Char"/>
    <w:uiPriority w:val="9"/>
    <w:semiHidden/>
    <w:unhideWhenUsed/>
    <w:qFormat/>
    <w:rsid w:val="00017DCC"/>
    <w:pPr>
      <w:keepNext/>
      <w:keepLines/>
      <w:spacing w:before="200" w:after="0"/>
      <w:outlineLvl w:val="3"/>
    </w:pPr>
    <w:rPr>
      <w:rFonts w:asciiTheme="majorHAnsi" w:eastAsiaTheme="majorEastAsia" w:hAnsiTheme="majorHAnsi" w:cstheme="majorBidi"/>
      <w:b/>
      <w:bCs/>
      <w:i/>
      <w:iCs/>
      <w:color w:val="FF388C"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680E"/>
    <w:rPr>
      <w:rFonts w:asciiTheme="majorHAnsi" w:eastAsiaTheme="majorEastAsia" w:hAnsiTheme="majorHAnsi" w:cstheme="majorBidi"/>
      <w:b/>
      <w:bCs/>
      <w:color w:val="E80061" w:themeColor="accent1" w:themeShade="BF"/>
      <w:sz w:val="28"/>
      <w:szCs w:val="28"/>
      <w:u w:val="single"/>
    </w:rPr>
  </w:style>
  <w:style w:type="character" w:customStyle="1" w:styleId="Nadpis2Char">
    <w:name w:val="Nadpis 2 Char"/>
    <w:basedOn w:val="Standardnpsmoodstavce"/>
    <w:link w:val="Nadpis2"/>
    <w:uiPriority w:val="9"/>
    <w:rsid w:val="00BB052E"/>
    <w:rPr>
      <w:rFonts w:asciiTheme="majorHAnsi" w:eastAsiaTheme="majorEastAsia" w:hAnsiTheme="majorHAnsi" w:cstheme="majorBidi"/>
      <w:b/>
      <w:bCs/>
      <w:color w:val="FF388C" w:themeColor="accent1"/>
      <w:sz w:val="26"/>
      <w:szCs w:val="26"/>
    </w:rPr>
  </w:style>
  <w:style w:type="character" w:customStyle="1" w:styleId="Nadpis3Char">
    <w:name w:val="Nadpis 3 Char"/>
    <w:basedOn w:val="Standardnpsmoodstavce"/>
    <w:link w:val="Nadpis3"/>
    <w:uiPriority w:val="9"/>
    <w:rsid w:val="00DD04EA"/>
    <w:rPr>
      <w:rFonts w:asciiTheme="majorHAnsi" w:eastAsiaTheme="majorEastAsia" w:hAnsiTheme="majorHAnsi" w:cstheme="majorBidi"/>
      <w:b/>
      <w:bCs/>
      <w:color w:val="FF388C" w:themeColor="accent1"/>
    </w:rPr>
  </w:style>
  <w:style w:type="paragraph" w:customStyle="1" w:styleId="Ustanoven">
    <w:name w:val="Ustanovení"/>
    <w:basedOn w:val="Nadpis2"/>
    <w:link w:val="UstanovenChar"/>
    <w:qFormat/>
    <w:rsid w:val="00901D0C"/>
    <w:rPr>
      <w:i/>
      <w:color w:val="000000" w:themeColor="text1"/>
      <w:sz w:val="22"/>
    </w:rPr>
  </w:style>
  <w:style w:type="paragraph" w:customStyle="1" w:styleId="Kbodu">
    <w:name w:val="K bodu"/>
    <w:basedOn w:val="Normln"/>
    <w:link w:val="KboduChar"/>
    <w:qFormat/>
    <w:rsid w:val="002637D4"/>
    <w:rPr>
      <w:b/>
      <w:color w:val="68007F" w:themeColor="accent4"/>
    </w:rPr>
  </w:style>
  <w:style w:type="character" w:customStyle="1" w:styleId="UstanovenChar">
    <w:name w:val="Ustanovení Char"/>
    <w:basedOn w:val="Standardnpsmoodstavce"/>
    <w:link w:val="Ustanoven"/>
    <w:rsid w:val="00901D0C"/>
    <w:rPr>
      <w:rFonts w:asciiTheme="majorHAnsi" w:eastAsiaTheme="majorEastAsia" w:hAnsiTheme="majorHAnsi" w:cstheme="majorBidi"/>
      <w:b/>
      <w:bCs/>
      <w:i/>
      <w:color w:val="000000" w:themeColor="text1"/>
      <w:szCs w:val="26"/>
    </w:rPr>
  </w:style>
  <w:style w:type="paragraph" w:styleId="Bezmezer">
    <w:name w:val="No Spacing"/>
    <w:uiPriority w:val="1"/>
    <w:qFormat/>
    <w:rsid w:val="00AC3712"/>
    <w:pPr>
      <w:spacing w:after="0" w:line="240" w:lineRule="auto"/>
      <w:jc w:val="both"/>
    </w:pPr>
    <w:rPr>
      <w:rFonts w:ascii="Cambria" w:hAnsi="Cambria"/>
    </w:rPr>
  </w:style>
  <w:style w:type="character" w:customStyle="1" w:styleId="KboduChar">
    <w:name w:val="K bodu Char"/>
    <w:basedOn w:val="Standardnpsmoodstavce"/>
    <w:link w:val="Kbodu"/>
    <w:rsid w:val="002637D4"/>
    <w:rPr>
      <w:rFonts w:ascii="Cambria" w:hAnsi="Cambria"/>
      <w:b/>
      <w:color w:val="68007F" w:themeColor="accent4"/>
    </w:rPr>
  </w:style>
  <w:style w:type="paragraph" w:customStyle="1" w:styleId="Nadpis3-zvren">
    <w:name w:val="Nadpis 3 - závěrečná"/>
    <w:basedOn w:val="Nadpis3"/>
    <w:link w:val="Nadpis3-zvrenChar"/>
    <w:qFormat/>
    <w:rsid w:val="009470E4"/>
    <w:pPr>
      <w:numPr>
        <w:ilvl w:val="1"/>
        <w:numId w:val="3"/>
      </w:numPr>
      <w:spacing w:after="200"/>
    </w:pPr>
  </w:style>
  <w:style w:type="paragraph" w:customStyle="1" w:styleId="Nadpis2-zvren">
    <w:name w:val="Nadpis 2 - závěrečná"/>
    <w:basedOn w:val="Nadpis2"/>
    <w:link w:val="Nadpis2-zvrenChar"/>
    <w:qFormat/>
    <w:rsid w:val="00612ABD"/>
    <w:pPr>
      <w:numPr>
        <w:numId w:val="2"/>
      </w:numPr>
    </w:pPr>
  </w:style>
  <w:style w:type="character" w:customStyle="1" w:styleId="Nadpis3-zvrenChar">
    <w:name w:val="Nadpis 3 - závěrečná Char"/>
    <w:basedOn w:val="Nadpis3Char"/>
    <w:link w:val="Nadpis3-zvren"/>
    <w:rsid w:val="009470E4"/>
    <w:rPr>
      <w:rFonts w:asciiTheme="majorHAnsi" w:eastAsiaTheme="majorEastAsia" w:hAnsiTheme="majorHAnsi" w:cstheme="majorBidi"/>
      <w:b/>
      <w:bCs/>
      <w:color w:val="FF388C" w:themeColor="accent1"/>
    </w:rPr>
  </w:style>
  <w:style w:type="paragraph" w:customStyle="1" w:styleId="Nadpis4-zvren">
    <w:name w:val="Nadpis 4 - závěrečná"/>
    <w:basedOn w:val="Nadpis3-zvren"/>
    <w:link w:val="Nadpis4-zvrenChar"/>
    <w:qFormat/>
    <w:rsid w:val="00500755"/>
    <w:pPr>
      <w:numPr>
        <w:ilvl w:val="2"/>
      </w:numPr>
    </w:pPr>
  </w:style>
  <w:style w:type="character" w:customStyle="1" w:styleId="Nadpis2-zvrenChar">
    <w:name w:val="Nadpis 2 - závěrečná Char"/>
    <w:basedOn w:val="Nadpis2Char"/>
    <w:link w:val="Nadpis2-zvren"/>
    <w:rsid w:val="00612ABD"/>
    <w:rPr>
      <w:rFonts w:asciiTheme="majorHAnsi" w:eastAsiaTheme="majorEastAsia" w:hAnsiTheme="majorHAnsi" w:cstheme="majorBidi"/>
      <w:b/>
      <w:bCs/>
      <w:color w:val="FF388C" w:themeColor="accent1"/>
      <w:sz w:val="26"/>
      <w:szCs w:val="26"/>
    </w:rPr>
  </w:style>
  <w:style w:type="paragraph" w:customStyle="1" w:styleId="Nadpis5-zvren">
    <w:name w:val="Nadpis 5 - závěrečná"/>
    <w:basedOn w:val="Nadpis4-zvren"/>
    <w:link w:val="Nadpis5-zvrenChar"/>
    <w:qFormat/>
    <w:rsid w:val="00500755"/>
    <w:pPr>
      <w:numPr>
        <w:ilvl w:val="3"/>
      </w:numPr>
    </w:pPr>
  </w:style>
  <w:style w:type="character" w:customStyle="1" w:styleId="Nadpis4-zvrenChar">
    <w:name w:val="Nadpis 4 - závěrečná Char"/>
    <w:basedOn w:val="Nadpis3-zvrenChar"/>
    <w:link w:val="Nadpis4-zvren"/>
    <w:rsid w:val="00500755"/>
    <w:rPr>
      <w:rFonts w:asciiTheme="majorHAnsi" w:eastAsiaTheme="majorEastAsia" w:hAnsiTheme="majorHAnsi" w:cstheme="majorBidi"/>
      <w:b/>
      <w:bCs/>
      <w:color w:val="FF388C" w:themeColor="accent1"/>
    </w:rPr>
  </w:style>
  <w:style w:type="paragraph" w:customStyle="1" w:styleId="Varianty">
    <w:name w:val="Varianty"/>
    <w:basedOn w:val="Nadpis5-zvren"/>
    <w:link w:val="VariantyChar"/>
    <w:qFormat/>
    <w:rsid w:val="00500755"/>
    <w:pPr>
      <w:numPr>
        <w:ilvl w:val="0"/>
        <w:numId w:val="0"/>
      </w:numPr>
      <w:ind w:left="720"/>
    </w:pPr>
    <w:rPr>
      <w:u w:val="single"/>
    </w:rPr>
  </w:style>
  <w:style w:type="character" w:customStyle="1" w:styleId="Nadpis5-zvrenChar">
    <w:name w:val="Nadpis 5 - závěrečná Char"/>
    <w:basedOn w:val="Nadpis4-zvrenChar"/>
    <w:link w:val="Nadpis5-zvren"/>
    <w:rsid w:val="00500755"/>
    <w:rPr>
      <w:rFonts w:asciiTheme="majorHAnsi" w:eastAsiaTheme="majorEastAsia" w:hAnsiTheme="majorHAnsi" w:cstheme="majorBidi"/>
      <w:b/>
      <w:bCs/>
      <w:color w:val="FF388C" w:themeColor="accent1"/>
    </w:rPr>
  </w:style>
  <w:style w:type="character" w:customStyle="1" w:styleId="VariantyChar">
    <w:name w:val="Varianty Char"/>
    <w:basedOn w:val="Nadpis5-zvrenChar"/>
    <w:link w:val="Varianty"/>
    <w:rsid w:val="00500755"/>
    <w:rPr>
      <w:rFonts w:asciiTheme="majorHAnsi" w:eastAsiaTheme="majorEastAsia" w:hAnsiTheme="majorHAnsi" w:cstheme="majorBidi"/>
      <w:b/>
      <w:bCs/>
      <w:color w:val="FF388C" w:themeColor="accent1"/>
      <w:u w:val="single"/>
    </w:rPr>
  </w:style>
  <w:style w:type="character" w:styleId="Hypertextovodkaz">
    <w:name w:val="Hyperlink"/>
    <w:rsid w:val="00CD7EBA"/>
    <w:rPr>
      <w:color w:val="0000FF"/>
      <w:u w:val="single"/>
    </w:rPr>
  </w:style>
  <w:style w:type="paragraph" w:styleId="Odstavecseseznamem">
    <w:name w:val="List Paragraph"/>
    <w:basedOn w:val="Normln"/>
    <w:uiPriority w:val="34"/>
    <w:qFormat/>
    <w:rsid w:val="00CD7EBA"/>
    <w:pPr>
      <w:ind w:left="720"/>
      <w:contextualSpacing/>
    </w:pPr>
  </w:style>
  <w:style w:type="paragraph" w:customStyle="1" w:styleId="IDPROBLEM">
    <w:name w:val="ID PROBLEM"/>
    <w:basedOn w:val="Nadpis3-zvren"/>
    <w:link w:val="IDPROBLEMChar"/>
    <w:qFormat/>
    <w:rsid w:val="00F62443"/>
    <w:rPr>
      <w:smallCaps/>
      <w:color w:val="00349E" w:themeColor="accent6"/>
    </w:rPr>
  </w:style>
  <w:style w:type="paragraph" w:styleId="Textbubliny">
    <w:name w:val="Balloon Text"/>
    <w:basedOn w:val="Normln"/>
    <w:link w:val="TextbublinyChar"/>
    <w:uiPriority w:val="99"/>
    <w:semiHidden/>
    <w:unhideWhenUsed/>
    <w:rsid w:val="00186AA8"/>
    <w:pPr>
      <w:spacing w:before="0" w:after="0"/>
    </w:pPr>
    <w:rPr>
      <w:rFonts w:ascii="Tahoma" w:hAnsi="Tahoma" w:cs="Tahoma"/>
      <w:sz w:val="16"/>
      <w:szCs w:val="16"/>
    </w:rPr>
  </w:style>
  <w:style w:type="character" w:customStyle="1" w:styleId="IDPROBLEMChar">
    <w:name w:val="ID PROBLEM Char"/>
    <w:basedOn w:val="Nadpis3-zvrenChar"/>
    <w:link w:val="IDPROBLEM"/>
    <w:rsid w:val="00F62443"/>
    <w:rPr>
      <w:rFonts w:asciiTheme="majorHAnsi" w:eastAsiaTheme="majorEastAsia" w:hAnsiTheme="majorHAnsi" w:cstheme="majorBidi"/>
      <w:b/>
      <w:bCs/>
      <w:smallCaps/>
      <w:color w:val="00349E" w:themeColor="accent6"/>
    </w:rPr>
  </w:style>
  <w:style w:type="character" w:customStyle="1" w:styleId="TextbublinyChar">
    <w:name w:val="Text bubliny Char"/>
    <w:basedOn w:val="Standardnpsmoodstavce"/>
    <w:link w:val="Textbubliny"/>
    <w:uiPriority w:val="99"/>
    <w:semiHidden/>
    <w:rsid w:val="00186AA8"/>
    <w:rPr>
      <w:rFonts w:ascii="Tahoma" w:hAnsi="Tahoma" w:cs="Tahoma"/>
      <w:sz w:val="16"/>
      <w:szCs w:val="16"/>
    </w:rPr>
  </w:style>
  <w:style w:type="table" w:styleId="Mkatabulky">
    <w:name w:val="Table Grid"/>
    <w:basedOn w:val="Normlntabulka"/>
    <w:uiPriority w:val="59"/>
    <w:rsid w:val="002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742D7"/>
    <w:rPr>
      <w:sz w:val="16"/>
      <w:szCs w:val="16"/>
    </w:rPr>
  </w:style>
  <w:style w:type="paragraph" w:styleId="Textkomente">
    <w:name w:val="annotation text"/>
    <w:basedOn w:val="Normln"/>
    <w:link w:val="TextkomenteChar"/>
    <w:uiPriority w:val="99"/>
    <w:semiHidden/>
    <w:unhideWhenUsed/>
    <w:rsid w:val="008742D7"/>
    <w:rPr>
      <w:sz w:val="20"/>
      <w:szCs w:val="20"/>
    </w:rPr>
  </w:style>
  <w:style w:type="character" w:customStyle="1" w:styleId="TextkomenteChar">
    <w:name w:val="Text komentáře Char"/>
    <w:basedOn w:val="Standardnpsmoodstavce"/>
    <w:link w:val="Textkomente"/>
    <w:uiPriority w:val="99"/>
    <w:semiHidden/>
    <w:rsid w:val="008742D7"/>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8742D7"/>
    <w:rPr>
      <w:b/>
      <w:bCs/>
    </w:rPr>
  </w:style>
  <w:style w:type="character" w:customStyle="1" w:styleId="PedmtkomenteChar">
    <w:name w:val="Předmět komentáře Char"/>
    <w:basedOn w:val="TextkomenteChar"/>
    <w:link w:val="Pedmtkomente"/>
    <w:uiPriority w:val="99"/>
    <w:semiHidden/>
    <w:rsid w:val="008742D7"/>
    <w:rPr>
      <w:rFonts w:ascii="Cambria" w:hAnsi="Cambria"/>
      <w:b/>
      <w:bCs/>
      <w:sz w:val="20"/>
      <w:szCs w:val="20"/>
    </w:rPr>
  </w:style>
  <w:style w:type="character" w:customStyle="1" w:styleId="Nadpis4Char">
    <w:name w:val="Nadpis 4 Char"/>
    <w:basedOn w:val="Standardnpsmoodstavce"/>
    <w:link w:val="Nadpis4"/>
    <w:uiPriority w:val="9"/>
    <w:semiHidden/>
    <w:rsid w:val="00017DCC"/>
    <w:rPr>
      <w:rFonts w:asciiTheme="majorHAnsi" w:eastAsiaTheme="majorEastAsia" w:hAnsiTheme="majorHAnsi" w:cstheme="majorBidi"/>
      <w:b/>
      <w:bCs/>
      <w:i/>
      <w:iCs/>
      <w:color w:val="FF388C" w:themeColor="accent1"/>
    </w:rPr>
  </w:style>
  <w:style w:type="paragraph" w:styleId="Revize">
    <w:name w:val="Revision"/>
    <w:hidden/>
    <w:uiPriority w:val="99"/>
    <w:semiHidden/>
    <w:rsid w:val="0087640A"/>
    <w:pPr>
      <w:spacing w:after="0" w:line="240" w:lineRule="auto"/>
    </w:pPr>
    <w:rPr>
      <w:rFonts w:ascii="Cambria" w:hAnsi="Cambria"/>
    </w:rPr>
  </w:style>
  <w:style w:type="paragraph" w:styleId="Zhlav">
    <w:name w:val="header"/>
    <w:basedOn w:val="Normln"/>
    <w:link w:val="ZhlavChar"/>
    <w:uiPriority w:val="99"/>
    <w:unhideWhenUsed/>
    <w:rsid w:val="000E3107"/>
    <w:pPr>
      <w:tabs>
        <w:tab w:val="center" w:pos="4536"/>
        <w:tab w:val="right" w:pos="9072"/>
      </w:tabs>
      <w:spacing w:before="0" w:after="0"/>
    </w:pPr>
  </w:style>
  <w:style w:type="character" w:customStyle="1" w:styleId="ZhlavChar">
    <w:name w:val="Záhlaví Char"/>
    <w:basedOn w:val="Standardnpsmoodstavce"/>
    <w:link w:val="Zhlav"/>
    <w:uiPriority w:val="99"/>
    <w:rsid w:val="000E3107"/>
    <w:rPr>
      <w:rFonts w:ascii="Cambria" w:hAnsi="Cambria"/>
    </w:rPr>
  </w:style>
  <w:style w:type="paragraph" w:styleId="Zpat">
    <w:name w:val="footer"/>
    <w:basedOn w:val="Normln"/>
    <w:link w:val="ZpatChar"/>
    <w:uiPriority w:val="99"/>
    <w:unhideWhenUsed/>
    <w:rsid w:val="000E3107"/>
    <w:pPr>
      <w:tabs>
        <w:tab w:val="center" w:pos="4536"/>
        <w:tab w:val="right" w:pos="9072"/>
      </w:tabs>
      <w:spacing w:before="0" w:after="0"/>
    </w:pPr>
  </w:style>
  <w:style w:type="character" w:customStyle="1" w:styleId="ZpatChar">
    <w:name w:val="Zápatí Char"/>
    <w:basedOn w:val="Standardnpsmoodstavce"/>
    <w:link w:val="Zpat"/>
    <w:uiPriority w:val="99"/>
    <w:rsid w:val="000E3107"/>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2AF"/>
    <w:pPr>
      <w:spacing w:before="240" w:after="240" w:line="240" w:lineRule="auto"/>
      <w:jc w:val="both"/>
    </w:pPr>
    <w:rPr>
      <w:rFonts w:ascii="Cambria" w:hAnsi="Cambria"/>
    </w:rPr>
  </w:style>
  <w:style w:type="paragraph" w:styleId="Nadpis1">
    <w:name w:val="heading 1"/>
    <w:basedOn w:val="Normln"/>
    <w:next w:val="Normln"/>
    <w:link w:val="Nadpis1Char"/>
    <w:uiPriority w:val="9"/>
    <w:qFormat/>
    <w:rsid w:val="001A680E"/>
    <w:pPr>
      <w:keepNext/>
      <w:keepLines/>
      <w:spacing w:before="480" w:after="0"/>
      <w:outlineLvl w:val="0"/>
    </w:pPr>
    <w:rPr>
      <w:rFonts w:asciiTheme="majorHAnsi" w:eastAsiaTheme="majorEastAsia" w:hAnsiTheme="majorHAnsi" w:cstheme="majorBidi"/>
      <w:b/>
      <w:bCs/>
      <w:color w:val="E80061" w:themeColor="accent1" w:themeShade="BF"/>
      <w:sz w:val="28"/>
      <w:szCs w:val="28"/>
      <w:u w:val="single"/>
    </w:rPr>
  </w:style>
  <w:style w:type="paragraph" w:styleId="Nadpis2">
    <w:name w:val="heading 2"/>
    <w:basedOn w:val="Normln"/>
    <w:next w:val="Normln"/>
    <w:link w:val="Nadpis2Char"/>
    <w:uiPriority w:val="9"/>
    <w:unhideWhenUsed/>
    <w:qFormat/>
    <w:rsid w:val="00612ABD"/>
    <w:pPr>
      <w:keepNext/>
      <w:keepLines/>
      <w:spacing w:before="200" w:after="0"/>
      <w:outlineLvl w:val="1"/>
    </w:pPr>
    <w:rPr>
      <w:rFonts w:asciiTheme="majorHAnsi" w:eastAsiaTheme="majorEastAsia" w:hAnsiTheme="majorHAnsi" w:cstheme="majorBidi"/>
      <w:b/>
      <w:bCs/>
      <w:color w:val="FF388C" w:themeColor="accent1"/>
      <w:sz w:val="26"/>
      <w:szCs w:val="26"/>
    </w:rPr>
  </w:style>
  <w:style w:type="paragraph" w:styleId="Nadpis3">
    <w:name w:val="heading 3"/>
    <w:basedOn w:val="Normln"/>
    <w:next w:val="Normln"/>
    <w:link w:val="Nadpis3Char"/>
    <w:uiPriority w:val="9"/>
    <w:unhideWhenUsed/>
    <w:qFormat/>
    <w:rsid w:val="00DD04EA"/>
    <w:pPr>
      <w:keepNext/>
      <w:keepLines/>
      <w:spacing w:before="200" w:after="0"/>
      <w:outlineLvl w:val="2"/>
    </w:pPr>
    <w:rPr>
      <w:rFonts w:asciiTheme="majorHAnsi" w:eastAsiaTheme="majorEastAsia" w:hAnsiTheme="majorHAnsi" w:cstheme="majorBidi"/>
      <w:b/>
      <w:bCs/>
      <w:color w:val="FF388C" w:themeColor="accent1"/>
    </w:rPr>
  </w:style>
  <w:style w:type="paragraph" w:styleId="Nadpis4">
    <w:name w:val="heading 4"/>
    <w:basedOn w:val="Normln"/>
    <w:next w:val="Normln"/>
    <w:link w:val="Nadpis4Char"/>
    <w:uiPriority w:val="9"/>
    <w:semiHidden/>
    <w:unhideWhenUsed/>
    <w:qFormat/>
    <w:rsid w:val="00017DCC"/>
    <w:pPr>
      <w:keepNext/>
      <w:keepLines/>
      <w:spacing w:before="200" w:after="0"/>
      <w:outlineLvl w:val="3"/>
    </w:pPr>
    <w:rPr>
      <w:rFonts w:asciiTheme="majorHAnsi" w:eastAsiaTheme="majorEastAsia" w:hAnsiTheme="majorHAnsi" w:cstheme="majorBidi"/>
      <w:b/>
      <w:bCs/>
      <w:i/>
      <w:iCs/>
      <w:color w:val="FF388C"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680E"/>
    <w:rPr>
      <w:rFonts w:asciiTheme="majorHAnsi" w:eastAsiaTheme="majorEastAsia" w:hAnsiTheme="majorHAnsi" w:cstheme="majorBidi"/>
      <w:b/>
      <w:bCs/>
      <w:color w:val="E80061" w:themeColor="accent1" w:themeShade="BF"/>
      <w:sz w:val="28"/>
      <w:szCs w:val="28"/>
      <w:u w:val="single"/>
    </w:rPr>
  </w:style>
  <w:style w:type="character" w:customStyle="1" w:styleId="Nadpis2Char">
    <w:name w:val="Nadpis 2 Char"/>
    <w:basedOn w:val="Standardnpsmoodstavce"/>
    <w:link w:val="Nadpis2"/>
    <w:uiPriority w:val="9"/>
    <w:rsid w:val="00BB052E"/>
    <w:rPr>
      <w:rFonts w:asciiTheme="majorHAnsi" w:eastAsiaTheme="majorEastAsia" w:hAnsiTheme="majorHAnsi" w:cstheme="majorBidi"/>
      <w:b/>
      <w:bCs/>
      <w:color w:val="FF388C" w:themeColor="accent1"/>
      <w:sz w:val="26"/>
      <w:szCs w:val="26"/>
    </w:rPr>
  </w:style>
  <w:style w:type="character" w:customStyle="1" w:styleId="Nadpis3Char">
    <w:name w:val="Nadpis 3 Char"/>
    <w:basedOn w:val="Standardnpsmoodstavce"/>
    <w:link w:val="Nadpis3"/>
    <w:uiPriority w:val="9"/>
    <w:rsid w:val="00DD04EA"/>
    <w:rPr>
      <w:rFonts w:asciiTheme="majorHAnsi" w:eastAsiaTheme="majorEastAsia" w:hAnsiTheme="majorHAnsi" w:cstheme="majorBidi"/>
      <w:b/>
      <w:bCs/>
      <w:color w:val="FF388C" w:themeColor="accent1"/>
    </w:rPr>
  </w:style>
  <w:style w:type="paragraph" w:customStyle="1" w:styleId="Ustanoven">
    <w:name w:val="Ustanovení"/>
    <w:basedOn w:val="Nadpis2"/>
    <w:link w:val="UstanovenChar"/>
    <w:qFormat/>
    <w:rsid w:val="00901D0C"/>
    <w:rPr>
      <w:i/>
      <w:color w:val="000000" w:themeColor="text1"/>
      <w:sz w:val="22"/>
    </w:rPr>
  </w:style>
  <w:style w:type="paragraph" w:customStyle="1" w:styleId="Kbodu">
    <w:name w:val="K bodu"/>
    <w:basedOn w:val="Normln"/>
    <w:link w:val="KboduChar"/>
    <w:qFormat/>
    <w:rsid w:val="002637D4"/>
    <w:rPr>
      <w:b/>
      <w:color w:val="68007F" w:themeColor="accent4"/>
    </w:rPr>
  </w:style>
  <w:style w:type="character" w:customStyle="1" w:styleId="UstanovenChar">
    <w:name w:val="Ustanovení Char"/>
    <w:basedOn w:val="Standardnpsmoodstavce"/>
    <w:link w:val="Ustanoven"/>
    <w:rsid w:val="00901D0C"/>
    <w:rPr>
      <w:rFonts w:asciiTheme="majorHAnsi" w:eastAsiaTheme="majorEastAsia" w:hAnsiTheme="majorHAnsi" w:cstheme="majorBidi"/>
      <w:b/>
      <w:bCs/>
      <w:i/>
      <w:color w:val="000000" w:themeColor="text1"/>
      <w:szCs w:val="26"/>
    </w:rPr>
  </w:style>
  <w:style w:type="paragraph" w:styleId="Bezmezer">
    <w:name w:val="No Spacing"/>
    <w:uiPriority w:val="1"/>
    <w:qFormat/>
    <w:rsid w:val="00AC3712"/>
    <w:pPr>
      <w:spacing w:after="0" w:line="240" w:lineRule="auto"/>
      <w:jc w:val="both"/>
    </w:pPr>
    <w:rPr>
      <w:rFonts w:ascii="Cambria" w:hAnsi="Cambria"/>
    </w:rPr>
  </w:style>
  <w:style w:type="character" w:customStyle="1" w:styleId="KboduChar">
    <w:name w:val="K bodu Char"/>
    <w:basedOn w:val="Standardnpsmoodstavce"/>
    <w:link w:val="Kbodu"/>
    <w:rsid w:val="002637D4"/>
    <w:rPr>
      <w:rFonts w:ascii="Cambria" w:hAnsi="Cambria"/>
      <w:b/>
      <w:color w:val="68007F" w:themeColor="accent4"/>
    </w:rPr>
  </w:style>
  <w:style w:type="paragraph" w:customStyle="1" w:styleId="Nadpis3-zvren">
    <w:name w:val="Nadpis 3 - závěrečná"/>
    <w:basedOn w:val="Nadpis3"/>
    <w:link w:val="Nadpis3-zvrenChar"/>
    <w:qFormat/>
    <w:rsid w:val="009470E4"/>
    <w:pPr>
      <w:numPr>
        <w:ilvl w:val="1"/>
        <w:numId w:val="3"/>
      </w:numPr>
      <w:spacing w:after="200"/>
    </w:pPr>
  </w:style>
  <w:style w:type="paragraph" w:customStyle="1" w:styleId="Nadpis2-zvren">
    <w:name w:val="Nadpis 2 - závěrečná"/>
    <w:basedOn w:val="Nadpis2"/>
    <w:link w:val="Nadpis2-zvrenChar"/>
    <w:qFormat/>
    <w:rsid w:val="00612ABD"/>
    <w:pPr>
      <w:numPr>
        <w:numId w:val="2"/>
      </w:numPr>
    </w:pPr>
  </w:style>
  <w:style w:type="character" w:customStyle="1" w:styleId="Nadpis3-zvrenChar">
    <w:name w:val="Nadpis 3 - závěrečná Char"/>
    <w:basedOn w:val="Nadpis3Char"/>
    <w:link w:val="Nadpis3-zvren"/>
    <w:rsid w:val="009470E4"/>
    <w:rPr>
      <w:rFonts w:asciiTheme="majorHAnsi" w:eastAsiaTheme="majorEastAsia" w:hAnsiTheme="majorHAnsi" w:cstheme="majorBidi"/>
      <w:b/>
      <w:bCs/>
      <w:color w:val="FF388C" w:themeColor="accent1"/>
    </w:rPr>
  </w:style>
  <w:style w:type="paragraph" w:customStyle="1" w:styleId="Nadpis4-zvren">
    <w:name w:val="Nadpis 4 - závěrečná"/>
    <w:basedOn w:val="Nadpis3-zvren"/>
    <w:link w:val="Nadpis4-zvrenChar"/>
    <w:qFormat/>
    <w:rsid w:val="00500755"/>
    <w:pPr>
      <w:numPr>
        <w:ilvl w:val="2"/>
      </w:numPr>
    </w:pPr>
  </w:style>
  <w:style w:type="character" w:customStyle="1" w:styleId="Nadpis2-zvrenChar">
    <w:name w:val="Nadpis 2 - závěrečná Char"/>
    <w:basedOn w:val="Nadpis2Char"/>
    <w:link w:val="Nadpis2-zvren"/>
    <w:rsid w:val="00612ABD"/>
    <w:rPr>
      <w:rFonts w:asciiTheme="majorHAnsi" w:eastAsiaTheme="majorEastAsia" w:hAnsiTheme="majorHAnsi" w:cstheme="majorBidi"/>
      <w:b/>
      <w:bCs/>
      <w:color w:val="FF388C" w:themeColor="accent1"/>
      <w:sz w:val="26"/>
      <w:szCs w:val="26"/>
    </w:rPr>
  </w:style>
  <w:style w:type="paragraph" w:customStyle="1" w:styleId="Nadpis5-zvren">
    <w:name w:val="Nadpis 5 - závěrečná"/>
    <w:basedOn w:val="Nadpis4-zvren"/>
    <w:link w:val="Nadpis5-zvrenChar"/>
    <w:qFormat/>
    <w:rsid w:val="00500755"/>
    <w:pPr>
      <w:numPr>
        <w:ilvl w:val="3"/>
      </w:numPr>
    </w:pPr>
  </w:style>
  <w:style w:type="character" w:customStyle="1" w:styleId="Nadpis4-zvrenChar">
    <w:name w:val="Nadpis 4 - závěrečná Char"/>
    <w:basedOn w:val="Nadpis3-zvrenChar"/>
    <w:link w:val="Nadpis4-zvren"/>
    <w:rsid w:val="00500755"/>
    <w:rPr>
      <w:rFonts w:asciiTheme="majorHAnsi" w:eastAsiaTheme="majorEastAsia" w:hAnsiTheme="majorHAnsi" w:cstheme="majorBidi"/>
      <w:b/>
      <w:bCs/>
      <w:color w:val="FF388C" w:themeColor="accent1"/>
    </w:rPr>
  </w:style>
  <w:style w:type="paragraph" w:customStyle="1" w:styleId="Varianty">
    <w:name w:val="Varianty"/>
    <w:basedOn w:val="Nadpis5-zvren"/>
    <w:link w:val="VariantyChar"/>
    <w:qFormat/>
    <w:rsid w:val="00500755"/>
    <w:pPr>
      <w:numPr>
        <w:ilvl w:val="0"/>
        <w:numId w:val="0"/>
      </w:numPr>
      <w:ind w:left="720"/>
    </w:pPr>
    <w:rPr>
      <w:u w:val="single"/>
    </w:rPr>
  </w:style>
  <w:style w:type="character" w:customStyle="1" w:styleId="Nadpis5-zvrenChar">
    <w:name w:val="Nadpis 5 - závěrečná Char"/>
    <w:basedOn w:val="Nadpis4-zvrenChar"/>
    <w:link w:val="Nadpis5-zvren"/>
    <w:rsid w:val="00500755"/>
    <w:rPr>
      <w:rFonts w:asciiTheme="majorHAnsi" w:eastAsiaTheme="majorEastAsia" w:hAnsiTheme="majorHAnsi" w:cstheme="majorBidi"/>
      <w:b/>
      <w:bCs/>
      <w:color w:val="FF388C" w:themeColor="accent1"/>
    </w:rPr>
  </w:style>
  <w:style w:type="character" w:customStyle="1" w:styleId="VariantyChar">
    <w:name w:val="Varianty Char"/>
    <w:basedOn w:val="Nadpis5-zvrenChar"/>
    <w:link w:val="Varianty"/>
    <w:rsid w:val="00500755"/>
    <w:rPr>
      <w:rFonts w:asciiTheme="majorHAnsi" w:eastAsiaTheme="majorEastAsia" w:hAnsiTheme="majorHAnsi" w:cstheme="majorBidi"/>
      <w:b/>
      <w:bCs/>
      <w:color w:val="FF388C" w:themeColor="accent1"/>
      <w:u w:val="single"/>
    </w:rPr>
  </w:style>
  <w:style w:type="character" w:styleId="Hypertextovodkaz">
    <w:name w:val="Hyperlink"/>
    <w:rsid w:val="00CD7EBA"/>
    <w:rPr>
      <w:color w:val="0000FF"/>
      <w:u w:val="single"/>
    </w:rPr>
  </w:style>
  <w:style w:type="paragraph" w:styleId="Odstavecseseznamem">
    <w:name w:val="List Paragraph"/>
    <w:basedOn w:val="Normln"/>
    <w:uiPriority w:val="34"/>
    <w:qFormat/>
    <w:rsid w:val="00CD7EBA"/>
    <w:pPr>
      <w:ind w:left="720"/>
      <w:contextualSpacing/>
    </w:pPr>
  </w:style>
  <w:style w:type="paragraph" w:customStyle="1" w:styleId="IDPROBLEM">
    <w:name w:val="ID PROBLEM"/>
    <w:basedOn w:val="Nadpis3-zvren"/>
    <w:link w:val="IDPROBLEMChar"/>
    <w:qFormat/>
    <w:rsid w:val="00F62443"/>
    <w:rPr>
      <w:smallCaps/>
      <w:color w:val="00349E" w:themeColor="accent6"/>
    </w:rPr>
  </w:style>
  <w:style w:type="paragraph" w:styleId="Textbubliny">
    <w:name w:val="Balloon Text"/>
    <w:basedOn w:val="Normln"/>
    <w:link w:val="TextbublinyChar"/>
    <w:uiPriority w:val="99"/>
    <w:semiHidden/>
    <w:unhideWhenUsed/>
    <w:rsid w:val="00186AA8"/>
    <w:pPr>
      <w:spacing w:before="0" w:after="0"/>
    </w:pPr>
    <w:rPr>
      <w:rFonts w:ascii="Tahoma" w:hAnsi="Tahoma" w:cs="Tahoma"/>
      <w:sz w:val="16"/>
      <w:szCs w:val="16"/>
    </w:rPr>
  </w:style>
  <w:style w:type="character" w:customStyle="1" w:styleId="IDPROBLEMChar">
    <w:name w:val="ID PROBLEM Char"/>
    <w:basedOn w:val="Nadpis3-zvrenChar"/>
    <w:link w:val="IDPROBLEM"/>
    <w:rsid w:val="00F62443"/>
    <w:rPr>
      <w:rFonts w:asciiTheme="majorHAnsi" w:eastAsiaTheme="majorEastAsia" w:hAnsiTheme="majorHAnsi" w:cstheme="majorBidi"/>
      <w:b/>
      <w:bCs/>
      <w:smallCaps/>
      <w:color w:val="00349E" w:themeColor="accent6"/>
    </w:rPr>
  </w:style>
  <w:style w:type="character" w:customStyle="1" w:styleId="TextbublinyChar">
    <w:name w:val="Text bubliny Char"/>
    <w:basedOn w:val="Standardnpsmoodstavce"/>
    <w:link w:val="Textbubliny"/>
    <w:uiPriority w:val="99"/>
    <w:semiHidden/>
    <w:rsid w:val="00186AA8"/>
    <w:rPr>
      <w:rFonts w:ascii="Tahoma" w:hAnsi="Tahoma" w:cs="Tahoma"/>
      <w:sz w:val="16"/>
      <w:szCs w:val="16"/>
    </w:rPr>
  </w:style>
  <w:style w:type="table" w:styleId="Mkatabulky">
    <w:name w:val="Table Grid"/>
    <w:basedOn w:val="Normlntabulka"/>
    <w:uiPriority w:val="59"/>
    <w:rsid w:val="002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742D7"/>
    <w:rPr>
      <w:sz w:val="16"/>
      <w:szCs w:val="16"/>
    </w:rPr>
  </w:style>
  <w:style w:type="paragraph" w:styleId="Textkomente">
    <w:name w:val="annotation text"/>
    <w:basedOn w:val="Normln"/>
    <w:link w:val="TextkomenteChar"/>
    <w:uiPriority w:val="99"/>
    <w:semiHidden/>
    <w:unhideWhenUsed/>
    <w:rsid w:val="008742D7"/>
    <w:rPr>
      <w:sz w:val="20"/>
      <w:szCs w:val="20"/>
    </w:rPr>
  </w:style>
  <w:style w:type="character" w:customStyle="1" w:styleId="TextkomenteChar">
    <w:name w:val="Text komentáře Char"/>
    <w:basedOn w:val="Standardnpsmoodstavce"/>
    <w:link w:val="Textkomente"/>
    <w:uiPriority w:val="99"/>
    <w:semiHidden/>
    <w:rsid w:val="008742D7"/>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8742D7"/>
    <w:rPr>
      <w:b/>
      <w:bCs/>
    </w:rPr>
  </w:style>
  <w:style w:type="character" w:customStyle="1" w:styleId="PedmtkomenteChar">
    <w:name w:val="Předmět komentáře Char"/>
    <w:basedOn w:val="TextkomenteChar"/>
    <w:link w:val="Pedmtkomente"/>
    <w:uiPriority w:val="99"/>
    <w:semiHidden/>
    <w:rsid w:val="008742D7"/>
    <w:rPr>
      <w:rFonts w:ascii="Cambria" w:hAnsi="Cambria"/>
      <w:b/>
      <w:bCs/>
      <w:sz w:val="20"/>
      <w:szCs w:val="20"/>
    </w:rPr>
  </w:style>
  <w:style w:type="character" w:customStyle="1" w:styleId="Nadpis4Char">
    <w:name w:val="Nadpis 4 Char"/>
    <w:basedOn w:val="Standardnpsmoodstavce"/>
    <w:link w:val="Nadpis4"/>
    <w:uiPriority w:val="9"/>
    <w:semiHidden/>
    <w:rsid w:val="00017DCC"/>
    <w:rPr>
      <w:rFonts w:asciiTheme="majorHAnsi" w:eastAsiaTheme="majorEastAsia" w:hAnsiTheme="majorHAnsi" w:cstheme="majorBidi"/>
      <w:b/>
      <w:bCs/>
      <w:i/>
      <w:iCs/>
      <w:color w:val="FF388C" w:themeColor="accent1"/>
    </w:rPr>
  </w:style>
  <w:style w:type="paragraph" w:styleId="Revize">
    <w:name w:val="Revision"/>
    <w:hidden/>
    <w:uiPriority w:val="99"/>
    <w:semiHidden/>
    <w:rsid w:val="0087640A"/>
    <w:pPr>
      <w:spacing w:after="0" w:line="240" w:lineRule="auto"/>
    </w:pPr>
    <w:rPr>
      <w:rFonts w:ascii="Cambria" w:hAnsi="Cambria"/>
    </w:rPr>
  </w:style>
  <w:style w:type="paragraph" w:styleId="Zhlav">
    <w:name w:val="header"/>
    <w:basedOn w:val="Normln"/>
    <w:link w:val="ZhlavChar"/>
    <w:uiPriority w:val="99"/>
    <w:unhideWhenUsed/>
    <w:rsid w:val="000E3107"/>
    <w:pPr>
      <w:tabs>
        <w:tab w:val="center" w:pos="4536"/>
        <w:tab w:val="right" w:pos="9072"/>
      </w:tabs>
      <w:spacing w:before="0" w:after="0"/>
    </w:pPr>
  </w:style>
  <w:style w:type="character" w:customStyle="1" w:styleId="ZhlavChar">
    <w:name w:val="Záhlaví Char"/>
    <w:basedOn w:val="Standardnpsmoodstavce"/>
    <w:link w:val="Zhlav"/>
    <w:uiPriority w:val="99"/>
    <w:rsid w:val="000E3107"/>
    <w:rPr>
      <w:rFonts w:ascii="Cambria" w:hAnsi="Cambria"/>
    </w:rPr>
  </w:style>
  <w:style w:type="paragraph" w:styleId="Zpat">
    <w:name w:val="footer"/>
    <w:basedOn w:val="Normln"/>
    <w:link w:val="ZpatChar"/>
    <w:uiPriority w:val="99"/>
    <w:unhideWhenUsed/>
    <w:rsid w:val="000E3107"/>
    <w:pPr>
      <w:tabs>
        <w:tab w:val="center" w:pos="4536"/>
        <w:tab w:val="right" w:pos="9072"/>
      </w:tabs>
      <w:spacing w:before="0" w:after="0"/>
    </w:pPr>
  </w:style>
  <w:style w:type="character" w:customStyle="1" w:styleId="ZpatChar">
    <w:name w:val="Zápatí Char"/>
    <w:basedOn w:val="Standardnpsmoodstavce"/>
    <w:link w:val="Zpat"/>
    <w:uiPriority w:val="99"/>
    <w:rsid w:val="000E3107"/>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5690">
      <w:bodyDiv w:val="1"/>
      <w:marLeft w:val="0"/>
      <w:marRight w:val="0"/>
      <w:marTop w:val="0"/>
      <w:marBottom w:val="0"/>
      <w:divBdr>
        <w:top w:val="none" w:sz="0" w:space="0" w:color="auto"/>
        <w:left w:val="none" w:sz="0" w:space="0" w:color="auto"/>
        <w:bottom w:val="none" w:sz="0" w:space="0" w:color="auto"/>
        <w:right w:val="none" w:sz="0" w:space="0" w:color="auto"/>
      </w:divBdr>
    </w:div>
    <w:div w:id="166751761">
      <w:bodyDiv w:val="1"/>
      <w:marLeft w:val="0"/>
      <w:marRight w:val="0"/>
      <w:marTop w:val="0"/>
      <w:marBottom w:val="0"/>
      <w:divBdr>
        <w:top w:val="none" w:sz="0" w:space="0" w:color="auto"/>
        <w:left w:val="none" w:sz="0" w:space="0" w:color="auto"/>
        <w:bottom w:val="none" w:sz="0" w:space="0" w:color="auto"/>
        <w:right w:val="none" w:sz="0" w:space="0" w:color="auto"/>
      </w:divBdr>
    </w:div>
    <w:div w:id="268901082">
      <w:bodyDiv w:val="1"/>
      <w:marLeft w:val="0"/>
      <w:marRight w:val="0"/>
      <w:marTop w:val="0"/>
      <w:marBottom w:val="0"/>
      <w:divBdr>
        <w:top w:val="none" w:sz="0" w:space="0" w:color="auto"/>
        <w:left w:val="none" w:sz="0" w:space="0" w:color="auto"/>
        <w:bottom w:val="none" w:sz="0" w:space="0" w:color="auto"/>
        <w:right w:val="none" w:sz="0" w:space="0" w:color="auto"/>
      </w:divBdr>
    </w:div>
    <w:div w:id="348726166">
      <w:bodyDiv w:val="1"/>
      <w:marLeft w:val="0"/>
      <w:marRight w:val="0"/>
      <w:marTop w:val="0"/>
      <w:marBottom w:val="0"/>
      <w:divBdr>
        <w:top w:val="none" w:sz="0" w:space="0" w:color="auto"/>
        <w:left w:val="none" w:sz="0" w:space="0" w:color="auto"/>
        <w:bottom w:val="none" w:sz="0" w:space="0" w:color="auto"/>
        <w:right w:val="none" w:sz="0" w:space="0" w:color="auto"/>
      </w:divBdr>
    </w:div>
    <w:div w:id="755828084">
      <w:bodyDiv w:val="1"/>
      <w:marLeft w:val="0"/>
      <w:marRight w:val="0"/>
      <w:marTop w:val="0"/>
      <w:marBottom w:val="0"/>
      <w:divBdr>
        <w:top w:val="none" w:sz="0" w:space="0" w:color="auto"/>
        <w:left w:val="none" w:sz="0" w:space="0" w:color="auto"/>
        <w:bottom w:val="none" w:sz="0" w:space="0" w:color="auto"/>
        <w:right w:val="none" w:sz="0" w:space="0" w:color="auto"/>
      </w:divBdr>
    </w:div>
    <w:div w:id="1161772660">
      <w:bodyDiv w:val="1"/>
      <w:marLeft w:val="0"/>
      <w:marRight w:val="0"/>
      <w:marTop w:val="0"/>
      <w:marBottom w:val="0"/>
      <w:divBdr>
        <w:top w:val="none" w:sz="0" w:space="0" w:color="auto"/>
        <w:left w:val="none" w:sz="0" w:space="0" w:color="auto"/>
        <w:bottom w:val="none" w:sz="0" w:space="0" w:color="auto"/>
        <w:right w:val="none" w:sz="0" w:space="0" w:color="auto"/>
      </w:divBdr>
    </w:div>
    <w:div w:id="1369648037">
      <w:bodyDiv w:val="1"/>
      <w:marLeft w:val="0"/>
      <w:marRight w:val="0"/>
      <w:marTop w:val="0"/>
      <w:marBottom w:val="0"/>
      <w:divBdr>
        <w:top w:val="none" w:sz="0" w:space="0" w:color="auto"/>
        <w:left w:val="none" w:sz="0" w:space="0" w:color="auto"/>
        <w:bottom w:val="none" w:sz="0" w:space="0" w:color="auto"/>
        <w:right w:val="none" w:sz="0" w:space="0" w:color="auto"/>
      </w:divBdr>
    </w:div>
    <w:div w:id="1491674529">
      <w:bodyDiv w:val="1"/>
      <w:marLeft w:val="0"/>
      <w:marRight w:val="0"/>
      <w:marTop w:val="0"/>
      <w:marBottom w:val="0"/>
      <w:divBdr>
        <w:top w:val="none" w:sz="0" w:space="0" w:color="auto"/>
        <w:left w:val="none" w:sz="0" w:space="0" w:color="auto"/>
        <w:bottom w:val="none" w:sz="0" w:space="0" w:color="auto"/>
        <w:right w:val="none" w:sz="0" w:space="0" w:color="auto"/>
      </w:divBdr>
      <w:divsChild>
        <w:div w:id="21784522">
          <w:marLeft w:val="0"/>
          <w:marRight w:val="0"/>
          <w:marTop w:val="0"/>
          <w:marBottom w:val="0"/>
          <w:divBdr>
            <w:top w:val="none" w:sz="0" w:space="0" w:color="auto"/>
            <w:left w:val="none" w:sz="0" w:space="0" w:color="auto"/>
            <w:bottom w:val="none" w:sz="0" w:space="0" w:color="auto"/>
            <w:right w:val="none" w:sz="0" w:space="0" w:color="auto"/>
          </w:divBdr>
          <w:divsChild>
            <w:div w:id="1441142735">
              <w:marLeft w:val="0"/>
              <w:marRight w:val="0"/>
              <w:marTop w:val="0"/>
              <w:marBottom w:val="0"/>
              <w:divBdr>
                <w:top w:val="none" w:sz="0" w:space="0" w:color="auto"/>
                <w:left w:val="none" w:sz="0" w:space="0" w:color="auto"/>
                <w:bottom w:val="none" w:sz="0" w:space="0" w:color="auto"/>
                <w:right w:val="none" w:sz="0" w:space="0" w:color="auto"/>
              </w:divBdr>
              <w:divsChild>
                <w:div w:id="781152793">
                  <w:marLeft w:val="0"/>
                  <w:marRight w:val="0"/>
                  <w:marTop w:val="0"/>
                  <w:marBottom w:val="0"/>
                  <w:divBdr>
                    <w:top w:val="none" w:sz="0" w:space="0" w:color="auto"/>
                    <w:left w:val="none" w:sz="0" w:space="0" w:color="auto"/>
                    <w:bottom w:val="none" w:sz="0" w:space="0" w:color="auto"/>
                    <w:right w:val="none" w:sz="0" w:space="0" w:color="auto"/>
                  </w:divBdr>
                  <w:divsChild>
                    <w:div w:id="981470924">
                      <w:marLeft w:val="-225"/>
                      <w:marRight w:val="-225"/>
                      <w:marTop w:val="0"/>
                      <w:marBottom w:val="0"/>
                      <w:divBdr>
                        <w:top w:val="none" w:sz="0" w:space="0" w:color="auto"/>
                        <w:left w:val="none" w:sz="0" w:space="0" w:color="auto"/>
                        <w:bottom w:val="none" w:sz="0" w:space="0" w:color="auto"/>
                        <w:right w:val="none" w:sz="0" w:space="0" w:color="auto"/>
                      </w:divBdr>
                      <w:divsChild>
                        <w:div w:id="1660033581">
                          <w:marLeft w:val="0"/>
                          <w:marRight w:val="0"/>
                          <w:marTop w:val="0"/>
                          <w:marBottom w:val="0"/>
                          <w:divBdr>
                            <w:top w:val="none" w:sz="0" w:space="0" w:color="auto"/>
                            <w:left w:val="none" w:sz="0" w:space="0" w:color="auto"/>
                            <w:bottom w:val="none" w:sz="0" w:space="0" w:color="auto"/>
                            <w:right w:val="none" w:sz="0" w:space="0" w:color="auto"/>
                          </w:divBdr>
                          <w:divsChild>
                            <w:div w:id="908925212">
                              <w:marLeft w:val="0"/>
                              <w:marRight w:val="0"/>
                              <w:marTop w:val="0"/>
                              <w:marBottom w:val="0"/>
                              <w:divBdr>
                                <w:top w:val="none" w:sz="0" w:space="0" w:color="auto"/>
                                <w:left w:val="none" w:sz="0" w:space="0" w:color="auto"/>
                                <w:bottom w:val="none" w:sz="0" w:space="0" w:color="auto"/>
                                <w:right w:val="none" w:sz="0" w:space="0" w:color="auto"/>
                              </w:divBdr>
                              <w:divsChild>
                                <w:div w:id="1962416825">
                                  <w:marLeft w:val="0"/>
                                  <w:marRight w:val="0"/>
                                  <w:marTop w:val="0"/>
                                  <w:marBottom w:val="0"/>
                                  <w:divBdr>
                                    <w:top w:val="none" w:sz="0" w:space="0" w:color="auto"/>
                                    <w:left w:val="none" w:sz="0" w:space="0" w:color="auto"/>
                                    <w:bottom w:val="none" w:sz="0" w:space="0" w:color="auto"/>
                                    <w:right w:val="none" w:sz="0" w:space="0" w:color="auto"/>
                                  </w:divBdr>
                                  <w:divsChild>
                                    <w:div w:id="1852596597">
                                      <w:marLeft w:val="0"/>
                                      <w:marRight w:val="0"/>
                                      <w:marTop w:val="0"/>
                                      <w:marBottom w:val="0"/>
                                      <w:divBdr>
                                        <w:top w:val="none" w:sz="0" w:space="0" w:color="auto"/>
                                        <w:left w:val="none" w:sz="0" w:space="0" w:color="auto"/>
                                        <w:bottom w:val="none" w:sz="0" w:space="0" w:color="auto"/>
                                        <w:right w:val="none" w:sz="0" w:space="0" w:color="auto"/>
                                      </w:divBdr>
                                      <w:divsChild>
                                        <w:div w:id="951277767">
                                          <w:marLeft w:val="0"/>
                                          <w:marRight w:val="0"/>
                                          <w:marTop w:val="0"/>
                                          <w:marBottom w:val="0"/>
                                          <w:divBdr>
                                            <w:top w:val="none" w:sz="0" w:space="0" w:color="auto"/>
                                            <w:left w:val="none" w:sz="0" w:space="0" w:color="auto"/>
                                            <w:bottom w:val="none" w:sz="0" w:space="0" w:color="auto"/>
                                            <w:right w:val="none" w:sz="0" w:space="0" w:color="auto"/>
                                          </w:divBdr>
                                          <w:divsChild>
                                            <w:div w:id="1248423788">
                                              <w:marLeft w:val="0"/>
                                              <w:marRight w:val="0"/>
                                              <w:marTop w:val="0"/>
                                              <w:marBottom w:val="0"/>
                                              <w:divBdr>
                                                <w:top w:val="none" w:sz="0" w:space="0" w:color="auto"/>
                                                <w:left w:val="none" w:sz="0" w:space="0" w:color="auto"/>
                                                <w:bottom w:val="none" w:sz="0" w:space="0" w:color="auto"/>
                                                <w:right w:val="none" w:sz="0" w:space="0" w:color="auto"/>
                                              </w:divBdr>
                                              <w:divsChild>
                                                <w:div w:id="971250011">
                                                  <w:marLeft w:val="0"/>
                                                  <w:marRight w:val="0"/>
                                                  <w:marTop w:val="0"/>
                                                  <w:marBottom w:val="0"/>
                                                  <w:divBdr>
                                                    <w:top w:val="none" w:sz="0" w:space="0" w:color="auto"/>
                                                    <w:left w:val="none" w:sz="0" w:space="0" w:color="auto"/>
                                                    <w:bottom w:val="none" w:sz="0" w:space="0" w:color="auto"/>
                                                    <w:right w:val="none" w:sz="0" w:space="0" w:color="auto"/>
                                                  </w:divBdr>
                                                  <w:divsChild>
                                                    <w:div w:id="1888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8301555">
      <w:bodyDiv w:val="1"/>
      <w:marLeft w:val="0"/>
      <w:marRight w:val="0"/>
      <w:marTop w:val="0"/>
      <w:marBottom w:val="0"/>
      <w:divBdr>
        <w:top w:val="none" w:sz="0" w:space="0" w:color="auto"/>
        <w:left w:val="none" w:sz="0" w:space="0" w:color="auto"/>
        <w:bottom w:val="none" w:sz="0" w:space="0" w:color="auto"/>
        <w:right w:val="none" w:sz="0" w:space="0" w:color="auto"/>
      </w:divBdr>
    </w:div>
    <w:div w:id="1592465249">
      <w:bodyDiv w:val="1"/>
      <w:marLeft w:val="0"/>
      <w:marRight w:val="0"/>
      <w:marTop w:val="0"/>
      <w:marBottom w:val="0"/>
      <w:divBdr>
        <w:top w:val="none" w:sz="0" w:space="0" w:color="auto"/>
        <w:left w:val="none" w:sz="0" w:space="0" w:color="auto"/>
        <w:bottom w:val="none" w:sz="0" w:space="0" w:color="auto"/>
        <w:right w:val="none" w:sz="0" w:space="0" w:color="auto"/>
      </w:divBdr>
    </w:div>
    <w:div w:id="185148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ontrol.at/documents/20903/-/-/22a8972f-c195-466b-b97f-746e72ebd4b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eer.eu/portal/page/portal/EER_HOME/EER_MEMBERS/Meetings/WG-FG/CGWG/GST_TF/25th_GST_TF/DD/CEER%20storage%20TF.%20January%202016%20SSO%20response.xls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er.eu/portal/page/portal/EER_HOME/EER_MEMBERS/Meetings/WG-FG/CGWG/GST_TF/Wshp_on_Gas_Storage_regulatory_vision/DD/GIE%2001%20presentation%20for%20CEER%20Workshop%2026022015%20-%20innovation%20-%20v3.pp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eer.eu/portal/page/portal/EER_HOME/EER_MEMBERS/Meetings/WG-FG/CGWG/GST_TF/Wshp_on_Gas_Storage_regulatory_vision/DD/GIE%2002%20presentation%20for%20CEER%20Workshop%2026022015%20-%20Regulatory%20barriers%20-%20v3.pp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eer.eu/portal/page/portal/EER_HOME/EER_MEMBERS/Meetings/WG-FG/CGWG/GST_TF/Wshp_on_Gas_Storage_regulatory_vision/DD/GIE%2004%20presentation%20for%20CEER%20Workshop%2026022015%20-%20obligations%20of%20storage%20-%20v3.pptx" TargetMode="External"/><Relationship Id="rId14" Type="http://schemas.openxmlformats.org/officeDocument/2006/relationships/hyperlink" Target="https://www.e-control.at/documents/20903/-/-/22a8972f-c195-466b-b97f-746e72ebd4b1"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Talent">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47A3-EB94-4154-B40A-22D35B14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9508</Words>
  <Characters>56100</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2016-06-30T10:53:00Z</dcterms:created>
  <dcterms:modified xsi:type="dcterms:W3CDTF">2016-06-30T10:54:00Z</dcterms:modified>
</cp:coreProperties>
</file>