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86F4493" w14:textId="77777777" w:rsidR="00E1124C" w:rsidRDefault="00E1124C" w:rsidP="00E1124C">
      <w:pPr>
        <w:jc w:val="center"/>
      </w:pPr>
      <w:bookmarkStart w:id="0" w:name="_GoBack"/>
      <w:bookmarkEnd w:id="0"/>
    </w:p>
    <w:p w14:paraId="286F4494" w14:textId="77777777" w:rsidR="00E1124C" w:rsidRDefault="00E1124C" w:rsidP="00E1124C">
      <w:pPr>
        <w:jc w:val="center"/>
      </w:pPr>
    </w:p>
    <w:p w14:paraId="286F4495" w14:textId="77777777" w:rsidR="00E1124C" w:rsidRDefault="00E1124C" w:rsidP="00E1124C">
      <w:pPr>
        <w:jc w:val="center"/>
      </w:pPr>
    </w:p>
    <w:p w14:paraId="286F4496" w14:textId="77777777" w:rsidR="00E1124C" w:rsidRDefault="00E1124C" w:rsidP="00E1124C">
      <w:pPr>
        <w:jc w:val="center"/>
      </w:pPr>
    </w:p>
    <w:p w14:paraId="286F4497" w14:textId="77777777" w:rsidR="00E1124C" w:rsidRDefault="00E1124C" w:rsidP="00E1124C">
      <w:pPr>
        <w:jc w:val="center"/>
      </w:pPr>
    </w:p>
    <w:p w14:paraId="286F4498" w14:textId="77777777" w:rsidR="00E1124C" w:rsidRDefault="00E1124C" w:rsidP="00E1124C">
      <w:pPr>
        <w:jc w:val="center"/>
      </w:pPr>
    </w:p>
    <w:p w14:paraId="286F4499" w14:textId="77777777" w:rsidR="00E1124C" w:rsidRDefault="00E1124C" w:rsidP="00E1124C">
      <w:pPr>
        <w:jc w:val="center"/>
      </w:pPr>
    </w:p>
    <w:p w14:paraId="286F449A" w14:textId="77777777" w:rsidR="00E1124C" w:rsidRDefault="00E1124C" w:rsidP="00E1124C">
      <w:pPr>
        <w:jc w:val="center"/>
      </w:pPr>
    </w:p>
    <w:p w14:paraId="286F449B" w14:textId="77777777" w:rsidR="00E1124C" w:rsidRDefault="00E1124C" w:rsidP="00E1124C">
      <w:pPr>
        <w:jc w:val="center"/>
      </w:pPr>
    </w:p>
    <w:p w14:paraId="286F449C" w14:textId="77777777" w:rsidR="00E1124C" w:rsidRDefault="00E1124C" w:rsidP="00E1124C">
      <w:pPr>
        <w:jc w:val="center"/>
      </w:pPr>
    </w:p>
    <w:p w14:paraId="286F449D" w14:textId="77777777" w:rsidR="00E1124C" w:rsidRPr="00194E52" w:rsidRDefault="00E1124C" w:rsidP="00E1124C">
      <w:pPr>
        <w:jc w:val="center"/>
        <w:rPr>
          <w:b/>
        </w:rPr>
      </w:pPr>
      <w:r w:rsidRPr="00194E52">
        <w:rPr>
          <w:b/>
        </w:rPr>
        <w:t>NÁVRH</w:t>
      </w:r>
    </w:p>
    <w:p w14:paraId="286F449E" w14:textId="77777777" w:rsidR="00E1124C" w:rsidRDefault="00E1124C" w:rsidP="00E1124C">
      <w:pPr>
        <w:jc w:val="center"/>
      </w:pPr>
      <w:r>
        <w:t>Energetického regulačního úřadu</w:t>
      </w:r>
    </w:p>
    <w:p w14:paraId="286F449F" w14:textId="77777777" w:rsidR="00E1124C" w:rsidRPr="00194E52" w:rsidRDefault="00E1124C" w:rsidP="00E1124C">
      <w:pPr>
        <w:jc w:val="center"/>
        <w:rPr>
          <w:b/>
        </w:rPr>
      </w:pPr>
      <w:r w:rsidRPr="00194E52">
        <w:rPr>
          <w:b/>
        </w:rPr>
        <w:t>Koncepce implementace NAŘÍZENÍ KOMISE (EU) č. 312/2014 ze dne 26</w:t>
      </w:r>
      <w:r>
        <w:rPr>
          <w:b/>
        </w:rPr>
        <w:t>.</w:t>
      </w:r>
      <w:r w:rsidRPr="00194E52">
        <w:rPr>
          <w:b/>
        </w:rPr>
        <w:t xml:space="preserve"> března 2014, kterým se stanoví kodex sítě pro vyrovnávání plynu v přepravních sítích</w:t>
      </w:r>
    </w:p>
    <w:p w14:paraId="286F44A0" w14:textId="77777777" w:rsidR="00E1124C" w:rsidRDefault="00E1124C" w:rsidP="00E1124C"/>
    <w:p w14:paraId="286F44A1" w14:textId="77777777" w:rsidR="00E1124C" w:rsidRDefault="00E1124C" w:rsidP="00E1124C"/>
    <w:p w14:paraId="286F44A2" w14:textId="77777777" w:rsidR="00E1124C" w:rsidRDefault="00E1124C" w:rsidP="00E1124C"/>
    <w:p w14:paraId="286F44A3" w14:textId="77777777" w:rsidR="00E1124C" w:rsidRDefault="00E1124C" w:rsidP="00E1124C"/>
    <w:p w14:paraId="286F44A4" w14:textId="77777777" w:rsidR="00E1124C" w:rsidRDefault="00E1124C" w:rsidP="00E1124C"/>
    <w:p w14:paraId="286F44A5" w14:textId="77777777" w:rsidR="00E1124C" w:rsidRDefault="00E1124C" w:rsidP="00E1124C"/>
    <w:p w14:paraId="286F44A6" w14:textId="77777777" w:rsidR="00E1124C" w:rsidRDefault="00E1124C" w:rsidP="00E1124C"/>
    <w:p w14:paraId="286F44A7" w14:textId="77777777" w:rsidR="00E1124C" w:rsidRDefault="00E1124C" w:rsidP="00E1124C"/>
    <w:p w14:paraId="286F44A8" w14:textId="77777777" w:rsidR="00E1124C" w:rsidRDefault="00E1124C" w:rsidP="00E1124C"/>
    <w:p w14:paraId="286F44A9" w14:textId="77777777" w:rsidR="00E1124C" w:rsidRDefault="00E1124C" w:rsidP="00E1124C"/>
    <w:p w14:paraId="286F44AA" w14:textId="77777777" w:rsidR="00E1124C" w:rsidRDefault="00E1124C" w:rsidP="00E1124C"/>
    <w:p w14:paraId="286F44AB" w14:textId="77777777" w:rsidR="00E1124C" w:rsidRDefault="00E1124C" w:rsidP="00E1124C"/>
    <w:p w14:paraId="286F44AC" w14:textId="77777777" w:rsidR="00E1124C" w:rsidRDefault="00E1124C" w:rsidP="00E1124C">
      <w:r>
        <w:t>V Praze dne 1. prosince 2014</w:t>
      </w:r>
    </w:p>
    <w:p w14:paraId="286F44AD" w14:textId="77777777" w:rsidR="00E1124C" w:rsidRDefault="00E1124C" w:rsidP="00E1124C">
      <w:pPr>
        <w:jc w:val="left"/>
      </w:pPr>
      <w:r>
        <w:br w:type="page"/>
      </w:r>
    </w:p>
    <w:p w14:paraId="286F44AE" w14:textId="77777777" w:rsidR="00E1124C" w:rsidRDefault="00E1124C" w:rsidP="00E1124C">
      <w:pPr>
        <w:pStyle w:val="Nadpis1"/>
      </w:pPr>
      <w:r>
        <w:lastRenderedPageBreak/>
        <w:t>Základní pojmy</w:t>
      </w:r>
    </w:p>
    <w:p w14:paraId="286F44AF" w14:textId="77777777" w:rsidR="00E1124C" w:rsidRDefault="00E1124C" w:rsidP="00E1124C">
      <w:r>
        <w:t>Níže uvedené pojmy jsou zavedeny pro účely tohoto dokumentu. Pokud pojem užívaný v dokumentu není uveden, má se za to, že má stejný význam, jako mu přisuzují obecně závazné právní předpisy pro plynárenství.</w:t>
      </w:r>
    </w:p>
    <w:tbl>
      <w:tblPr>
        <w:tblStyle w:val="Mkatabulky"/>
        <w:tblW w:w="0" w:type="auto"/>
        <w:tblInd w:w="108"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410"/>
        <w:gridCol w:w="6770"/>
      </w:tblGrid>
      <w:tr w:rsidR="00E1124C" w14:paraId="286F44B2" w14:textId="77777777" w:rsidTr="006853BA">
        <w:tc>
          <w:tcPr>
            <w:tcW w:w="2410" w:type="dxa"/>
          </w:tcPr>
          <w:p w14:paraId="286F44B0" w14:textId="77777777" w:rsidR="00E1124C" w:rsidRDefault="00E1124C" w:rsidP="006853BA">
            <w:pPr>
              <w:jc w:val="left"/>
            </w:pPr>
            <w:r>
              <w:t>Balancing</w:t>
            </w:r>
          </w:p>
        </w:tc>
        <w:tc>
          <w:tcPr>
            <w:tcW w:w="6770" w:type="dxa"/>
          </w:tcPr>
          <w:p w14:paraId="286F44B1" w14:textId="77777777" w:rsidR="00E1124C" w:rsidRDefault="00E1124C" w:rsidP="006853BA">
            <w:r>
              <w:t>Model vyrovnávání plynu v plynárenské soustavě</w:t>
            </w:r>
          </w:p>
        </w:tc>
      </w:tr>
      <w:tr w:rsidR="00E1124C" w14:paraId="286F44B5" w14:textId="77777777" w:rsidTr="006853BA">
        <w:tc>
          <w:tcPr>
            <w:tcW w:w="2410" w:type="dxa"/>
          </w:tcPr>
          <w:p w14:paraId="286F44B3" w14:textId="77777777" w:rsidR="00E1124C" w:rsidRDefault="00E1124C" w:rsidP="006853BA">
            <w:pPr>
              <w:jc w:val="left"/>
            </w:pPr>
            <w:r>
              <w:t>Clearing C</w:t>
            </w:r>
          </w:p>
        </w:tc>
        <w:tc>
          <w:tcPr>
            <w:tcW w:w="6770" w:type="dxa"/>
          </w:tcPr>
          <w:p w14:paraId="286F44B4" w14:textId="77777777" w:rsidR="00E1124C" w:rsidRDefault="00E1124C" w:rsidP="006853BA">
            <w:r>
              <w:t>Operátorem trhu provedené vypořádání rozdílu mezi spotřebou plynu určenou pomocí typových diagramů dodávky a skutečnou hodnotou spotřeby určenou odečtem v odběrném místě zákazníka</w:t>
            </w:r>
          </w:p>
        </w:tc>
      </w:tr>
      <w:tr w:rsidR="00E1124C" w14:paraId="286F44B8" w14:textId="77777777" w:rsidTr="006853BA">
        <w:tc>
          <w:tcPr>
            <w:tcW w:w="2410" w:type="dxa"/>
          </w:tcPr>
          <w:p w14:paraId="286F44B6" w14:textId="77777777" w:rsidR="00E1124C" w:rsidRDefault="00E1124C" w:rsidP="006853BA">
            <w:pPr>
              <w:jc w:val="left"/>
            </w:pPr>
            <w:r>
              <w:t>Energetický zákon</w:t>
            </w:r>
          </w:p>
        </w:tc>
        <w:tc>
          <w:tcPr>
            <w:tcW w:w="6770" w:type="dxa"/>
          </w:tcPr>
          <w:p w14:paraId="286F44B7" w14:textId="77777777" w:rsidR="00E1124C" w:rsidRDefault="00E1124C" w:rsidP="006853BA">
            <w:r>
              <w:t>Zákon č. 458/2000 Sb., o podmínkách podnikání a o výkonu státní správy v energetických odvětvích a o změně některých zákonů (energetický zákon), ve znění pozdějších předpisů</w:t>
            </w:r>
          </w:p>
        </w:tc>
      </w:tr>
      <w:tr w:rsidR="00E1124C" w14:paraId="286F44BB" w14:textId="77777777" w:rsidTr="006853BA">
        <w:tc>
          <w:tcPr>
            <w:tcW w:w="2410" w:type="dxa"/>
          </w:tcPr>
          <w:p w14:paraId="286F44B9" w14:textId="77777777" w:rsidR="00E1124C" w:rsidRDefault="00E1124C" w:rsidP="006853BA">
            <w:pPr>
              <w:jc w:val="left"/>
            </w:pPr>
            <w:r>
              <w:t>Nařízení</w:t>
            </w:r>
          </w:p>
        </w:tc>
        <w:tc>
          <w:tcPr>
            <w:tcW w:w="6770" w:type="dxa"/>
          </w:tcPr>
          <w:p w14:paraId="286F44BA" w14:textId="77777777" w:rsidR="00E1124C" w:rsidRDefault="00E1124C" w:rsidP="006853BA">
            <w:r>
              <w:t>Nařízení komise (EU) č. 312/2014 ze dne 26. března 2014, kterým se stanoví kodex sítě pro vyrovnávání plynu v přepravních sítích</w:t>
            </w:r>
          </w:p>
        </w:tc>
      </w:tr>
      <w:tr w:rsidR="00E1124C" w14:paraId="286F44BE" w14:textId="77777777" w:rsidTr="006853BA">
        <w:tc>
          <w:tcPr>
            <w:tcW w:w="2410" w:type="dxa"/>
          </w:tcPr>
          <w:p w14:paraId="286F44BC" w14:textId="77777777" w:rsidR="00E1124C" w:rsidRDefault="00E1124C" w:rsidP="006853BA">
            <w:pPr>
              <w:jc w:val="left"/>
            </w:pPr>
            <w:r>
              <w:t>Operátor trhu</w:t>
            </w:r>
          </w:p>
        </w:tc>
        <w:tc>
          <w:tcPr>
            <w:tcW w:w="6770" w:type="dxa"/>
          </w:tcPr>
          <w:p w14:paraId="286F44BD" w14:textId="77777777" w:rsidR="00E1124C" w:rsidRDefault="00E1124C" w:rsidP="006853BA">
            <w:r>
              <w:t>Společnost OTE, a.s.</w:t>
            </w:r>
          </w:p>
        </w:tc>
      </w:tr>
      <w:tr w:rsidR="00E1124C" w14:paraId="286F44C1" w14:textId="77777777" w:rsidTr="006853BA">
        <w:tc>
          <w:tcPr>
            <w:tcW w:w="2410" w:type="dxa"/>
          </w:tcPr>
          <w:p w14:paraId="286F44BF" w14:textId="77777777" w:rsidR="00E1124C" w:rsidRDefault="00E1124C" w:rsidP="006853BA">
            <w:pPr>
              <w:jc w:val="left"/>
            </w:pPr>
            <w:r>
              <w:t>Pravidla trhu s plynem</w:t>
            </w:r>
          </w:p>
        </w:tc>
        <w:tc>
          <w:tcPr>
            <w:tcW w:w="6770" w:type="dxa"/>
          </w:tcPr>
          <w:p w14:paraId="286F44C0" w14:textId="77777777" w:rsidR="00E1124C" w:rsidRDefault="00E1124C" w:rsidP="006853BA">
            <w:r>
              <w:t>Vyhláška č. 365/2009 Sb., o Pravidlech trhu s plynem, ve znění pozdějších předpisů</w:t>
            </w:r>
          </w:p>
        </w:tc>
      </w:tr>
      <w:tr w:rsidR="00E1124C" w14:paraId="286F44C4" w14:textId="77777777" w:rsidTr="006853BA">
        <w:tc>
          <w:tcPr>
            <w:tcW w:w="2410" w:type="dxa"/>
          </w:tcPr>
          <w:p w14:paraId="286F44C2" w14:textId="77777777" w:rsidR="00E1124C" w:rsidRDefault="00E1124C" w:rsidP="006853BA">
            <w:pPr>
              <w:jc w:val="left"/>
            </w:pPr>
            <w:r>
              <w:t>Provozní odchylka</w:t>
            </w:r>
          </w:p>
        </w:tc>
        <w:tc>
          <w:tcPr>
            <w:tcW w:w="6770" w:type="dxa"/>
          </w:tcPr>
          <w:p w14:paraId="286F44C3" w14:textId="77777777" w:rsidR="00E1124C" w:rsidRDefault="00E1124C" w:rsidP="006853BA">
            <w:r>
              <w:t>Součet systémové a technické odchylky</w:t>
            </w:r>
          </w:p>
        </w:tc>
      </w:tr>
      <w:tr w:rsidR="00E1124C" w14:paraId="286F44C7" w14:textId="77777777" w:rsidTr="006853BA">
        <w:tc>
          <w:tcPr>
            <w:tcW w:w="2410" w:type="dxa"/>
          </w:tcPr>
          <w:p w14:paraId="286F44C5" w14:textId="77777777" w:rsidR="00E1124C" w:rsidRDefault="00E1124C" w:rsidP="006853BA">
            <w:pPr>
              <w:jc w:val="left"/>
            </w:pPr>
            <w:r>
              <w:t>Provozovatel přepravní soustavy</w:t>
            </w:r>
          </w:p>
        </w:tc>
        <w:tc>
          <w:tcPr>
            <w:tcW w:w="6770" w:type="dxa"/>
          </w:tcPr>
          <w:p w14:paraId="286F44C6" w14:textId="77777777" w:rsidR="00E1124C" w:rsidRDefault="00E1124C" w:rsidP="006853BA">
            <w:r>
              <w:t>Společnost NET4GAS, s.r.o.</w:t>
            </w:r>
          </w:p>
        </w:tc>
      </w:tr>
      <w:tr w:rsidR="00E1124C" w14:paraId="286F44CA" w14:textId="77777777" w:rsidTr="006853BA">
        <w:tc>
          <w:tcPr>
            <w:tcW w:w="2410" w:type="dxa"/>
          </w:tcPr>
          <w:p w14:paraId="286F44C8" w14:textId="77777777" w:rsidR="00E1124C" w:rsidRDefault="00E1124C" w:rsidP="006853BA">
            <w:pPr>
              <w:jc w:val="left"/>
            </w:pPr>
            <w:r>
              <w:t>Subjekt zúčtování</w:t>
            </w:r>
          </w:p>
        </w:tc>
        <w:tc>
          <w:tcPr>
            <w:tcW w:w="6770" w:type="dxa"/>
          </w:tcPr>
          <w:p w14:paraId="286F44C9" w14:textId="77777777" w:rsidR="00E1124C" w:rsidRDefault="00E1124C" w:rsidP="006853BA">
            <w:r>
              <w:t>Fyzická nebo právnická osoba, pro kterou operátor trhu na základě smlouvy o zúčtování odchylek provádí vyhodnocení, zúčtování a vypořádání odchylek</w:t>
            </w:r>
          </w:p>
        </w:tc>
      </w:tr>
      <w:tr w:rsidR="00E1124C" w14:paraId="286F44CD" w14:textId="77777777" w:rsidTr="006853BA">
        <w:tc>
          <w:tcPr>
            <w:tcW w:w="2410" w:type="dxa"/>
          </w:tcPr>
          <w:p w14:paraId="286F44CB" w14:textId="77777777" w:rsidR="00E1124C" w:rsidRDefault="00E1124C" w:rsidP="006853BA">
            <w:pPr>
              <w:jc w:val="left"/>
            </w:pPr>
            <w:r>
              <w:t>Systémová odchylka</w:t>
            </w:r>
          </w:p>
        </w:tc>
        <w:tc>
          <w:tcPr>
            <w:tcW w:w="6770" w:type="dxa"/>
          </w:tcPr>
          <w:p w14:paraId="286F44CC" w14:textId="77777777" w:rsidR="00E1124C" w:rsidRDefault="00E1124C" w:rsidP="006853BA">
            <w:r>
              <w:t>Součet kladných a záporných tržních odchylek všech subjektů zúčtování v plynárenském dni upravený o využití vyrovnávací služby</w:t>
            </w:r>
          </w:p>
        </w:tc>
      </w:tr>
      <w:tr w:rsidR="00E1124C" w14:paraId="286F44D0" w14:textId="77777777" w:rsidTr="006853BA">
        <w:tc>
          <w:tcPr>
            <w:tcW w:w="2410" w:type="dxa"/>
          </w:tcPr>
          <w:p w14:paraId="286F44CE" w14:textId="77777777" w:rsidR="00E1124C" w:rsidRDefault="00E1124C" w:rsidP="006853BA">
            <w:pPr>
              <w:jc w:val="left"/>
            </w:pPr>
            <w:r w:rsidRPr="007104DF">
              <w:t>Technická odchylka</w:t>
            </w:r>
          </w:p>
        </w:tc>
        <w:tc>
          <w:tcPr>
            <w:tcW w:w="6770" w:type="dxa"/>
          </w:tcPr>
          <w:p w14:paraId="286F44CF" w14:textId="77777777" w:rsidR="00E1124C" w:rsidRDefault="00E1124C" w:rsidP="006853BA">
            <w:r>
              <w:t>Odchylka způsobená jinými vlivy než nominacemi subjektů zúčtování</w:t>
            </w:r>
          </w:p>
        </w:tc>
      </w:tr>
      <w:tr w:rsidR="00E1124C" w14:paraId="286F44D3" w14:textId="77777777" w:rsidTr="006853BA">
        <w:tc>
          <w:tcPr>
            <w:tcW w:w="2410" w:type="dxa"/>
          </w:tcPr>
          <w:p w14:paraId="286F44D1" w14:textId="77777777" w:rsidR="00E1124C" w:rsidRDefault="00E1124C" w:rsidP="006853BA">
            <w:pPr>
              <w:jc w:val="left"/>
            </w:pPr>
            <w:r>
              <w:t>Tržní odchylka</w:t>
            </w:r>
          </w:p>
        </w:tc>
        <w:tc>
          <w:tcPr>
            <w:tcW w:w="6770" w:type="dxa"/>
          </w:tcPr>
          <w:p w14:paraId="286F44D2" w14:textId="77777777" w:rsidR="00E1124C" w:rsidRDefault="00E1124C" w:rsidP="006853BA">
            <w:r>
              <w:t>Odchylka subjektu zúčtování</w:t>
            </w:r>
          </w:p>
        </w:tc>
      </w:tr>
      <w:tr w:rsidR="00E1124C" w14:paraId="286F44D6" w14:textId="77777777" w:rsidTr="006853BA">
        <w:tc>
          <w:tcPr>
            <w:tcW w:w="2410" w:type="dxa"/>
          </w:tcPr>
          <w:p w14:paraId="286F44D4" w14:textId="77777777" w:rsidR="00E1124C" w:rsidRDefault="00E1124C" w:rsidP="006853BA">
            <w:pPr>
              <w:jc w:val="left"/>
            </w:pPr>
            <w:r>
              <w:t>Typ měření</w:t>
            </w:r>
          </w:p>
        </w:tc>
        <w:tc>
          <w:tcPr>
            <w:tcW w:w="6770" w:type="dxa"/>
          </w:tcPr>
          <w:p w14:paraId="286F44D5" w14:textId="77777777" w:rsidR="00E1124C" w:rsidRDefault="00E1124C" w:rsidP="006853BA">
            <w:r>
              <w:t>Typ měření je stanoven v souladu s vyhláškou č. 108/2011 Sb., ve znění pozdějších předpisů</w:t>
            </w:r>
          </w:p>
        </w:tc>
      </w:tr>
      <w:tr w:rsidR="00E1124C" w14:paraId="286F44D9" w14:textId="77777777" w:rsidTr="006853BA">
        <w:tc>
          <w:tcPr>
            <w:tcW w:w="2410" w:type="dxa"/>
          </w:tcPr>
          <w:p w14:paraId="286F44D7" w14:textId="77777777" w:rsidR="00E1124C" w:rsidRDefault="00E1124C" w:rsidP="006853BA">
            <w:pPr>
              <w:jc w:val="left"/>
            </w:pPr>
            <w:r>
              <w:t>Typový diagram dodávek</w:t>
            </w:r>
          </w:p>
        </w:tc>
        <w:tc>
          <w:tcPr>
            <w:tcW w:w="6770" w:type="dxa"/>
          </w:tcPr>
          <w:p w14:paraId="286F44D8" w14:textId="77777777" w:rsidR="00E1124C" w:rsidRDefault="00E1124C" w:rsidP="006853BA">
            <w:r>
              <w:t>D</w:t>
            </w:r>
            <w:r w:rsidRPr="0087391F">
              <w:t xml:space="preserve">iagram charakterizující roční průběh spotřeby </w:t>
            </w:r>
            <w:r>
              <w:t>plynu v odběrném místě</w:t>
            </w:r>
            <w:r w:rsidRPr="0087391F">
              <w:t>, který se používá pro vyhodnocování odchylek</w:t>
            </w:r>
          </w:p>
        </w:tc>
      </w:tr>
      <w:tr w:rsidR="00E1124C" w14:paraId="286F44DC" w14:textId="77777777" w:rsidTr="006853BA">
        <w:tc>
          <w:tcPr>
            <w:tcW w:w="2410" w:type="dxa"/>
          </w:tcPr>
          <w:p w14:paraId="286F44DA" w14:textId="77777777" w:rsidR="00E1124C" w:rsidRDefault="00E1124C" w:rsidP="006853BA">
            <w:pPr>
              <w:jc w:val="left"/>
            </w:pPr>
            <w:r>
              <w:t>Vyrovnávací služba</w:t>
            </w:r>
          </w:p>
        </w:tc>
        <w:tc>
          <w:tcPr>
            <w:tcW w:w="6770" w:type="dxa"/>
          </w:tcPr>
          <w:p w14:paraId="286F44DB" w14:textId="77777777" w:rsidR="00E1124C" w:rsidRDefault="00E1124C" w:rsidP="006853BA">
            <w:r>
              <w:t>Služba flexibility ve smyslu ustanovení § 2 odst. 2 písm. d) PTP</w:t>
            </w:r>
          </w:p>
        </w:tc>
      </w:tr>
      <w:tr w:rsidR="00E1124C" w14:paraId="286F44DF" w14:textId="77777777" w:rsidTr="006853BA">
        <w:tc>
          <w:tcPr>
            <w:tcW w:w="2410" w:type="dxa"/>
          </w:tcPr>
          <w:p w14:paraId="286F44DD" w14:textId="77777777" w:rsidR="00E1124C" w:rsidRDefault="00E1124C" w:rsidP="006853BA">
            <w:pPr>
              <w:jc w:val="left"/>
            </w:pPr>
            <w:r>
              <w:t>Úřad</w:t>
            </w:r>
          </w:p>
        </w:tc>
        <w:tc>
          <w:tcPr>
            <w:tcW w:w="6770" w:type="dxa"/>
          </w:tcPr>
          <w:p w14:paraId="286F44DE" w14:textId="77777777" w:rsidR="00E1124C" w:rsidRDefault="00E1124C" w:rsidP="006853BA">
            <w:r>
              <w:t>Energetický regulační úřad</w:t>
            </w:r>
          </w:p>
        </w:tc>
      </w:tr>
      <w:tr w:rsidR="00E1124C" w14:paraId="286F44E2" w14:textId="77777777" w:rsidTr="006853BA">
        <w:tc>
          <w:tcPr>
            <w:tcW w:w="2410" w:type="dxa"/>
          </w:tcPr>
          <w:p w14:paraId="286F44E0" w14:textId="77777777" w:rsidR="00E1124C" w:rsidRDefault="00E1124C" w:rsidP="006853BA"/>
        </w:tc>
        <w:tc>
          <w:tcPr>
            <w:tcW w:w="6770" w:type="dxa"/>
          </w:tcPr>
          <w:p w14:paraId="286F44E1" w14:textId="77777777" w:rsidR="00E1124C" w:rsidRDefault="00E1124C" w:rsidP="006853BA"/>
        </w:tc>
      </w:tr>
    </w:tbl>
    <w:p w14:paraId="286F44E3" w14:textId="77777777" w:rsidR="00E1124C" w:rsidRDefault="00E1124C" w:rsidP="00E1124C">
      <w:pPr>
        <w:ind w:left="2127" w:hanging="2127"/>
        <w:rPr>
          <w:rFonts w:asciiTheme="majorHAnsi" w:eastAsiaTheme="majorEastAsia" w:hAnsiTheme="majorHAnsi" w:cstheme="majorBidi"/>
          <w:b/>
          <w:bCs/>
          <w:color w:val="365F91" w:themeColor="accent1" w:themeShade="BF"/>
          <w:sz w:val="28"/>
          <w:szCs w:val="28"/>
        </w:rPr>
      </w:pPr>
    </w:p>
    <w:p w14:paraId="286F44E4" w14:textId="77777777" w:rsidR="00E1124C" w:rsidRDefault="00E1124C" w:rsidP="00E1124C">
      <w:pPr>
        <w:jc w:val="left"/>
        <w:rPr>
          <w:rFonts w:asciiTheme="majorHAnsi" w:eastAsiaTheme="majorEastAsia" w:hAnsiTheme="majorHAnsi" w:cstheme="majorBidi"/>
          <w:b/>
          <w:bCs/>
          <w:color w:val="365F91" w:themeColor="accent1" w:themeShade="BF"/>
          <w:sz w:val="28"/>
          <w:szCs w:val="28"/>
        </w:rPr>
      </w:pPr>
      <w:r>
        <w:br w:type="page"/>
      </w:r>
    </w:p>
    <w:p w14:paraId="286F44E5" w14:textId="77777777" w:rsidR="00E1124C" w:rsidRDefault="00E1124C" w:rsidP="00E1124C">
      <w:pPr>
        <w:pStyle w:val="Nadpis1"/>
      </w:pPr>
      <w:r>
        <w:lastRenderedPageBreak/>
        <w:t>Zkratky</w:t>
      </w:r>
    </w:p>
    <w:p w14:paraId="286F44E6" w14:textId="77777777" w:rsidR="00E1124C" w:rsidRDefault="00E1124C" w:rsidP="00E1124C">
      <w:r>
        <w:t>ČR</w:t>
      </w:r>
      <w:r>
        <w:tab/>
      </w:r>
      <w:r>
        <w:tab/>
        <w:t>Česká republika</w:t>
      </w:r>
    </w:p>
    <w:p w14:paraId="286F44E7" w14:textId="77777777" w:rsidR="00E1124C" w:rsidRDefault="00E1124C" w:rsidP="00E1124C">
      <w:r>
        <w:t>DSO</w:t>
      </w:r>
      <w:r>
        <w:tab/>
      </w:r>
      <w:r>
        <w:tab/>
        <w:t>Provozovatel distribuční soustavy</w:t>
      </w:r>
    </w:p>
    <w:p w14:paraId="286F44E8" w14:textId="77777777" w:rsidR="00E1124C" w:rsidRDefault="00E1124C" w:rsidP="00E1124C">
      <w:r>
        <w:t>ERÚ</w:t>
      </w:r>
      <w:r>
        <w:tab/>
      </w:r>
      <w:r>
        <w:tab/>
        <w:t>Energetický regulační úřad</w:t>
      </w:r>
    </w:p>
    <w:p w14:paraId="286F44E9" w14:textId="77777777" w:rsidR="00E1124C" w:rsidRDefault="00E1124C" w:rsidP="00E1124C">
      <w:r>
        <w:t>EZ</w:t>
      </w:r>
      <w:r>
        <w:tab/>
      </w:r>
      <w:r>
        <w:tab/>
        <w:t>Energetický zákon</w:t>
      </w:r>
    </w:p>
    <w:p w14:paraId="286F44EA" w14:textId="77777777" w:rsidR="00E1124C" w:rsidRDefault="00E1124C" w:rsidP="00E1124C">
      <w:r>
        <w:t>OTE</w:t>
      </w:r>
      <w:r>
        <w:tab/>
      </w:r>
      <w:r>
        <w:tab/>
        <w:t>Operátor trhu</w:t>
      </w:r>
    </w:p>
    <w:p w14:paraId="286F44EB" w14:textId="77777777" w:rsidR="00E1124C" w:rsidRDefault="00E1124C" w:rsidP="00E1124C">
      <w:r>
        <w:t>PO</w:t>
      </w:r>
      <w:r>
        <w:tab/>
      </w:r>
      <w:r>
        <w:tab/>
        <w:t>Provozní odchylka</w:t>
      </w:r>
    </w:p>
    <w:p w14:paraId="286F44EC" w14:textId="77777777" w:rsidR="00E1124C" w:rsidRDefault="00E1124C" w:rsidP="00E1124C">
      <w:r>
        <w:t>PTP</w:t>
      </w:r>
      <w:r>
        <w:tab/>
      </w:r>
      <w:r>
        <w:tab/>
        <w:t>Pravidla trhu s plynem</w:t>
      </w:r>
    </w:p>
    <w:p w14:paraId="286F44ED" w14:textId="77777777" w:rsidR="00E1124C" w:rsidRDefault="00E1124C" w:rsidP="00E1124C">
      <w:r>
        <w:t>SO</w:t>
      </w:r>
      <w:r>
        <w:tab/>
      </w:r>
      <w:r>
        <w:tab/>
        <w:t>Systémová odchylka</w:t>
      </w:r>
    </w:p>
    <w:p w14:paraId="286F44EE" w14:textId="77777777" w:rsidR="00E1124C" w:rsidRDefault="00E1124C" w:rsidP="00E1124C">
      <w:r>
        <w:t>SSO</w:t>
      </w:r>
      <w:r>
        <w:tab/>
      </w:r>
      <w:r>
        <w:tab/>
        <w:t>Provozovatel zásobníku plynu</w:t>
      </w:r>
    </w:p>
    <w:p w14:paraId="286F44EF" w14:textId="77777777" w:rsidR="00E1124C" w:rsidRDefault="00E1124C" w:rsidP="00E1124C">
      <w:r>
        <w:t>SZ</w:t>
      </w:r>
      <w:r>
        <w:tab/>
      </w:r>
      <w:r>
        <w:tab/>
        <w:t>Subjekt zúčtování</w:t>
      </w:r>
    </w:p>
    <w:p w14:paraId="286F44F0" w14:textId="77777777" w:rsidR="00E1124C" w:rsidRDefault="00E1124C" w:rsidP="00E1124C">
      <w:r>
        <w:t>TDD</w:t>
      </w:r>
      <w:r>
        <w:tab/>
      </w:r>
      <w:r>
        <w:tab/>
        <w:t>Typový diagram dodávek</w:t>
      </w:r>
    </w:p>
    <w:p w14:paraId="286F44F1" w14:textId="77777777" w:rsidR="00E1124C" w:rsidRDefault="00E1124C" w:rsidP="00E1124C">
      <w:r>
        <w:t>TSO</w:t>
      </w:r>
      <w:r>
        <w:tab/>
      </w:r>
      <w:r>
        <w:tab/>
        <w:t>Provozovatel přepravní soustavy</w:t>
      </w:r>
    </w:p>
    <w:p w14:paraId="286F44F2" w14:textId="77777777" w:rsidR="00E1124C" w:rsidRDefault="00E1124C" w:rsidP="00E1124C">
      <w:r>
        <w:t>TO</w:t>
      </w:r>
      <w:r>
        <w:tab/>
      </w:r>
      <w:r>
        <w:tab/>
        <w:t>Technická odchylka</w:t>
      </w:r>
    </w:p>
    <w:p w14:paraId="286F44F3" w14:textId="77777777" w:rsidR="00E1124C" w:rsidRDefault="00E1124C" w:rsidP="00E1124C">
      <w:r>
        <w:t>ÚTP</w:t>
      </w:r>
      <w:r>
        <w:tab/>
      </w:r>
      <w:r>
        <w:tab/>
        <w:t>Účastník trhu s plynem</w:t>
      </w:r>
    </w:p>
    <w:p w14:paraId="286F44F4" w14:textId="77777777" w:rsidR="00E1124C" w:rsidRDefault="00E1124C" w:rsidP="00E1124C"/>
    <w:p w14:paraId="286F44F5" w14:textId="77777777" w:rsidR="00E1124C" w:rsidRDefault="00E1124C" w:rsidP="00E1124C"/>
    <w:p w14:paraId="286F44F6" w14:textId="77777777" w:rsidR="00E1124C" w:rsidRDefault="00E1124C" w:rsidP="00E1124C">
      <w:pPr>
        <w:jc w:val="left"/>
        <w:rPr>
          <w:rFonts w:asciiTheme="majorHAnsi" w:eastAsiaTheme="majorEastAsia" w:hAnsiTheme="majorHAnsi" w:cstheme="majorBidi"/>
          <w:b/>
          <w:bCs/>
          <w:color w:val="365F91" w:themeColor="accent1" w:themeShade="BF"/>
          <w:sz w:val="28"/>
          <w:szCs w:val="28"/>
        </w:rPr>
      </w:pPr>
      <w:r>
        <w:br w:type="page"/>
      </w:r>
    </w:p>
    <w:p w14:paraId="286F44F7" w14:textId="77777777" w:rsidR="00E1124C" w:rsidRDefault="00E1124C" w:rsidP="00E1124C">
      <w:pPr>
        <w:pStyle w:val="Nadpis1"/>
      </w:pPr>
      <w:r w:rsidRPr="00155000">
        <w:lastRenderedPageBreak/>
        <w:t>Úvod</w:t>
      </w:r>
      <w:r>
        <w:t xml:space="preserve"> a účel dokumentu</w:t>
      </w:r>
    </w:p>
    <w:p w14:paraId="286F44F8" w14:textId="77777777" w:rsidR="00E1124C" w:rsidRDefault="00E1124C" w:rsidP="00E1124C">
      <w:r>
        <w:t>Dne 26. března 2014 schválila Evropská komise Nařízení, které ukládá členským státům povinnost upravit pravidla pro vyrovnávání plynárenských soustav a uvést je do souladu s tímto Nařízením. Tento dokument s návrhem koncepce vnikl v důsledku potřeby implementace nařízení do národní legislativy pro účely zahájení veřejného konzultačního procesu, jehož výsledkem bude návrh novely pravidel trhu s plynem, zohledňující požadavky Nařízení.</w:t>
      </w:r>
    </w:p>
    <w:p w14:paraId="286F44F9" w14:textId="77777777" w:rsidR="00E1124C" w:rsidRDefault="00E1124C" w:rsidP="00E1124C">
      <w:r>
        <w:t>Nařízení stanovuje jednotná harmonizovaná pravidla vyrovnávání platná v celé Evropské unii tak, aby bylo možné trh hlouběji integrovat.</w:t>
      </w:r>
    </w:p>
    <w:p w14:paraId="286F44FA" w14:textId="77777777" w:rsidR="00E1124C" w:rsidRDefault="00E1124C" w:rsidP="00E1124C">
      <w:r>
        <w:t>Energetický regulační úřad je na základě zmocnění daném ustanovením § 98a odst. 2 písm. i) bodu 4 EZ povinen stanovit rozsah a termíny předávání údajů pro vyhodnocování odchylek a vyúčtování dodávek plynu a ostatních služeb, postupy pro vyhodnocování, zúčtování a vyrovnávání odchylek a zúčtování a vypořádání vyrovnávacího plynu ve stavu nouze a při předcházení stavu nouze. V rozsahu tohoto zmocnění je nezbytné upravit termíny a procesy pro implementaci Nařízení do modelu trhu s plynem v České republice. Transpozice Nařízení bude provedena úpravou Pravidel trhu s plynem.</w:t>
      </w:r>
    </w:p>
    <w:p w14:paraId="286F44FB" w14:textId="77777777" w:rsidR="00E1124C" w:rsidRPr="0033409E" w:rsidRDefault="00E1124C" w:rsidP="00E1124C">
      <w:r w:rsidRPr="0033409E">
        <w:t xml:space="preserve">Cílem tohoto konzultačního materiálu není poskytnout ucelený návrh cílového stavu. Energetický regulační úřad </w:t>
      </w:r>
      <w:r>
        <w:t xml:space="preserve">klade důraz na zohlednění názorů </w:t>
      </w:r>
      <w:r w:rsidRPr="0033409E">
        <w:t>účastníků trhu s plynem</w:t>
      </w:r>
      <w:r>
        <w:t xml:space="preserve"> </w:t>
      </w:r>
      <w:r w:rsidRPr="0033409E">
        <w:t>při implementaci jednotlivých ustanovení Nařízení</w:t>
      </w:r>
      <w:r>
        <w:t>.</w:t>
      </w:r>
      <w:r w:rsidRPr="0033409E">
        <w:t xml:space="preserve"> </w:t>
      </w:r>
      <w:r>
        <w:t>Úřad proto p</w:t>
      </w:r>
      <w:r w:rsidRPr="0033409E">
        <w:t xml:space="preserve">ovažuje za nezbytné získat v této fázi zpětnou vazbu od účastníků trhu s plynem tak, aby konečný návrh cílového stavu implementace </w:t>
      </w:r>
      <w:r>
        <w:t>N</w:t>
      </w:r>
      <w:r w:rsidRPr="0033409E">
        <w:t>ařízení v maximální možné míře reflektoval podněty ke všem klíčovým bodům implementace od účastníků trhu s</w:t>
      </w:r>
      <w:r>
        <w:t> </w:t>
      </w:r>
      <w:r w:rsidRPr="0033409E">
        <w:t>plynem</w:t>
      </w:r>
      <w:r>
        <w:t>, neboť právě na všechny ÚTP bude mít implementace dopad</w:t>
      </w:r>
      <w:r w:rsidRPr="0033409E">
        <w:t xml:space="preserve">. </w:t>
      </w:r>
    </w:p>
    <w:p w14:paraId="286F44FC" w14:textId="77777777" w:rsidR="00E1124C" w:rsidRPr="0033409E" w:rsidRDefault="00E1124C" w:rsidP="00E1124C">
      <w:r w:rsidRPr="0033409E">
        <w:t xml:space="preserve">Úřad </w:t>
      </w:r>
      <w:r>
        <w:t>zdůrazňuje</w:t>
      </w:r>
      <w:r w:rsidRPr="0033409E">
        <w:t>, že na základě těchto podnětů a připomínek</w:t>
      </w:r>
      <w:r>
        <w:t xml:space="preserve"> vzešlých z veřejného konzultačního procesu</w:t>
      </w:r>
      <w:r w:rsidRPr="0033409E">
        <w:t xml:space="preserve"> bude celý model koncipován. Vzhledem ke komplexnosti problematiky a nutnosti respektovat </w:t>
      </w:r>
      <w:r>
        <w:t xml:space="preserve">stanovené </w:t>
      </w:r>
      <w:r w:rsidRPr="0033409E">
        <w:t xml:space="preserve">implementační lhůty </w:t>
      </w:r>
      <w:r>
        <w:t>může být</w:t>
      </w:r>
      <w:r w:rsidRPr="0033409E">
        <w:t xml:space="preserve"> obtížné zapracovat principiální připomínky v dalších fázích implementace (konzultačního procesu). </w:t>
      </w:r>
    </w:p>
    <w:p w14:paraId="286F44FD" w14:textId="77777777" w:rsidR="00E1124C" w:rsidRDefault="00E1124C" w:rsidP="00E1124C">
      <w:pPr>
        <w:pStyle w:val="Nadpis1"/>
      </w:pPr>
      <w:r>
        <w:t>Klíčové aspekty balancingu</w:t>
      </w:r>
    </w:p>
    <w:p w14:paraId="286F44FE" w14:textId="77777777" w:rsidR="00E1124C" w:rsidRDefault="00E1124C" w:rsidP="00E1124C">
      <w:r>
        <w:t xml:space="preserve">Úřad při navrhování modelů implementace vycházel v první řadě ze zkušeností s fungováním stávajícího systému vyrovnávání plynárenské soustavy. Od roku 2010 je klíčovým prvkem tohoto systému operátor trhu, který provádí vypořádání a zúčtování tržních odchylek subjektů zúčtování působících na liberalizovaném trhu s plynem. Každý subjekt zúčtování je povinen udržovat rovnováhu mezi plynem dodávaným do soustavy a mezi plynem odebíraným ze soustavy. Nepřesnost odhadu nebo nezohlednění přesné výše spotřeby zákazníků vytváří tržní odchylku, za kterou je SZ odpovědný. Úřad považuje stávající systém vyrovnávání, vypořádání a zúčtování tržních odchylek za funkční, neboť od počátku jeho nastavení je systém v zásadě stabilní, nikdy nedošlo ke stavu, kdy by systém byl ohrožen nebo že by byla ohrožena dodávka plynu do odběrných míst zákazníků. Stávající systém ukázal, že motivuje SZ k tomu, aby se na trhu s plynem chovaly zodpovědně a svou činností tak nevyvolávaly dodatečné náklady na straně provozovatele přepravní soustavy. Zároveň představuje stávající model balancingu pro zodpovědné SZ řešení, které nevede ke zbytečně vynaloženým nákladům na jejich straně.  Současný model balancingu má dobré premise pro nastavení nového modelu, který bude lépe reflektovat Nařízení při respektování minimalizace nákladů spojených se zavedením. ERÚ je toho názoru, že již stávající model balancingu plní všechny záměry, jichž chce Nařízení dosáhnout, </w:t>
      </w:r>
      <w:r w:rsidRPr="004633EA">
        <w:t>a</w:t>
      </w:r>
      <w:r>
        <w:t> </w:t>
      </w:r>
      <w:r w:rsidRPr="004633EA">
        <w:t>proto by nové nastavení balancingu nemělo vést ke zhoršení stávajícího stavu</w:t>
      </w:r>
      <w:r>
        <w:t>.</w:t>
      </w:r>
    </w:p>
    <w:p w14:paraId="286F44FF" w14:textId="77777777" w:rsidR="00E1124C" w:rsidRDefault="00E1124C" w:rsidP="00E1124C">
      <w:pPr>
        <w:spacing w:after="120"/>
      </w:pPr>
      <w:r>
        <w:t>Nový balancing předpokládá naplnění těchto záměrů:</w:t>
      </w:r>
    </w:p>
    <w:p w14:paraId="286F4500" w14:textId="77777777" w:rsidR="00E1124C" w:rsidRDefault="00E1124C" w:rsidP="00E1124C">
      <w:pPr>
        <w:pStyle w:val="Odstavecseseznamem"/>
        <w:numPr>
          <w:ilvl w:val="0"/>
          <w:numId w:val="9"/>
        </w:numPr>
      </w:pPr>
      <w:r>
        <w:t>zvýšení konkurenceschopnosti,</w:t>
      </w:r>
    </w:p>
    <w:p w14:paraId="286F4501" w14:textId="77777777" w:rsidR="00E1124C" w:rsidRDefault="00E1124C" w:rsidP="00E1124C">
      <w:pPr>
        <w:pStyle w:val="Odstavecseseznamem"/>
        <w:numPr>
          <w:ilvl w:val="0"/>
          <w:numId w:val="9"/>
        </w:numPr>
      </w:pPr>
      <w:r>
        <w:t>nákup plynu za nejpříznivější ceny,</w:t>
      </w:r>
    </w:p>
    <w:p w14:paraId="286F4502" w14:textId="77777777" w:rsidR="00E1124C" w:rsidRDefault="00E1124C" w:rsidP="00E1124C">
      <w:pPr>
        <w:pStyle w:val="Odstavecseseznamem"/>
        <w:numPr>
          <w:ilvl w:val="0"/>
          <w:numId w:val="9"/>
        </w:numPr>
      </w:pPr>
      <w:r>
        <w:t>efektivní a nediskriminační řízení bilancí uživatelů sítě.</w:t>
      </w:r>
    </w:p>
    <w:p w14:paraId="286F4503" w14:textId="77777777" w:rsidR="00E1124C" w:rsidRDefault="00E1124C" w:rsidP="00E1124C">
      <w:pPr>
        <w:spacing w:after="120"/>
      </w:pPr>
      <w:r>
        <w:t>Balancing</w:t>
      </w:r>
      <w:r w:rsidRPr="00DA0E9A">
        <w:t xml:space="preserve"> se dotýká celé řady aspektů fungování trhu s plynem a regulace.</w:t>
      </w:r>
      <w:r>
        <w:t xml:space="preserve"> Za klíčové pro nastavení balancingu lze považovat tyto body:</w:t>
      </w:r>
    </w:p>
    <w:p w14:paraId="286F4504" w14:textId="77777777" w:rsidR="00E1124C" w:rsidRDefault="00E1124C" w:rsidP="00E1124C">
      <w:pPr>
        <w:pStyle w:val="Odstavecseseznamem"/>
        <w:numPr>
          <w:ilvl w:val="0"/>
          <w:numId w:val="4"/>
        </w:numPr>
      </w:pPr>
      <w:r>
        <w:t>Zachování integrity systému – nastavení balancingu nesmí ohrožovat stabilitu plynárenské soustavy a bezpečnost dodávek do odběrných míst zákazníků,</w:t>
      </w:r>
    </w:p>
    <w:p w14:paraId="286F4505" w14:textId="77777777" w:rsidR="00E1124C" w:rsidRDefault="00E1124C" w:rsidP="00E1124C">
      <w:pPr>
        <w:pStyle w:val="Odstavecseseznamem"/>
        <w:numPr>
          <w:ilvl w:val="0"/>
          <w:numId w:val="4"/>
        </w:numPr>
      </w:pPr>
      <w:r>
        <w:t xml:space="preserve">Efektivní využití sítě – nové nastavení balancingu nesmí přinášet nehospodárné využívání sítě, které by zvyšovalo cenu za použití sítě pro její </w:t>
      </w:r>
      <w:r w:rsidRPr="00BF3971">
        <w:t>uživatele</w:t>
      </w:r>
      <w:r>
        <w:t>,</w:t>
      </w:r>
    </w:p>
    <w:p w14:paraId="286F4506" w14:textId="77777777" w:rsidR="00E1124C" w:rsidRDefault="00E1124C" w:rsidP="00E1124C">
      <w:pPr>
        <w:pStyle w:val="Odstavecseseznamem"/>
        <w:numPr>
          <w:ilvl w:val="0"/>
          <w:numId w:val="4"/>
        </w:numPr>
      </w:pPr>
      <w:r>
        <w:t>Efektivní vynaložení nákladů – náklady, které využívání nového nastavení balancingu vyvolá, musí přinášet oproti současnému stavu vyšší komfort pro účastníky trhu či možnost lepší znalosti o aktuálním toku a spotřebě v soustavě,</w:t>
      </w:r>
    </w:p>
    <w:p w14:paraId="286F4507" w14:textId="77777777" w:rsidR="00E1124C" w:rsidRDefault="00E1124C" w:rsidP="00E1124C">
      <w:pPr>
        <w:pStyle w:val="Odstavecseseznamem"/>
        <w:numPr>
          <w:ilvl w:val="0"/>
          <w:numId w:val="4"/>
        </w:numPr>
      </w:pPr>
      <w:r>
        <w:t>Podpora volného trhu – nový model balancingu by měl vytvářet podmínky pro rozvoj tržní likvidity na organizovaném trhu s plynem v ČR a podporovat konkurenci na trhu s plynem v ČR,</w:t>
      </w:r>
    </w:p>
    <w:p w14:paraId="286F4508" w14:textId="77777777" w:rsidR="00E1124C" w:rsidRDefault="00E1124C" w:rsidP="00E1124C">
      <w:pPr>
        <w:pStyle w:val="Odstavecseseznamem"/>
        <w:numPr>
          <w:ilvl w:val="0"/>
          <w:numId w:val="4"/>
        </w:numPr>
      </w:pPr>
      <w:r>
        <w:t xml:space="preserve">Efektivní chování uživatelů – model balancingu musí poskytovat signály pro uživatele soustavy tak, aby na základě těchto signálů mohli provádět ekonomicky efektivní řízení své činnosti a toto řízení vedlo k odpovědnému chování na trhu s plynem; systém nesmí dovolit, aby uživatel sítě, který se nechová zodpovědně, profitoval ze skutečnosti, že se ostatní uživatelé sítě chovají zodpovědně, tj. naplňují základní předpoklady Nařízení, </w:t>
      </w:r>
    </w:p>
    <w:p w14:paraId="286F4509" w14:textId="77777777" w:rsidR="00E1124C" w:rsidRDefault="00E1124C" w:rsidP="00E1124C">
      <w:pPr>
        <w:pStyle w:val="Odstavecseseznamem"/>
        <w:numPr>
          <w:ilvl w:val="0"/>
          <w:numId w:val="4"/>
        </w:numPr>
      </w:pPr>
      <w:r>
        <w:t>Efektivní alokace nákladů – náklady musí být přiřazovány vždy těm subjektům zúčtování, které je svým chováním vyvolaly,</w:t>
      </w:r>
    </w:p>
    <w:p w14:paraId="286F450A" w14:textId="77777777" w:rsidR="00E1124C" w:rsidRDefault="00E1124C" w:rsidP="00E1124C">
      <w:pPr>
        <w:pStyle w:val="Odstavecseseznamem"/>
        <w:numPr>
          <w:ilvl w:val="0"/>
          <w:numId w:val="4"/>
        </w:numPr>
      </w:pPr>
      <w:r>
        <w:t>Minimalizace nákladů na implementaci – změna modelu balancingu nesmí přinášet významné náklady jak na straně uživatelů sítě, tak provozovatelů sítí,</w:t>
      </w:r>
    </w:p>
    <w:p w14:paraId="286F450B" w14:textId="77777777" w:rsidR="00E1124C" w:rsidRDefault="00E1124C" w:rsidP="00E1124C">
      <w:pPr>
        <w:pStyle w:val="Odstavecseseznamem"/>
        <w:numPr>
          <w:ilvl w:val="0"/>
          <w:numId w:val="4"/>
        </w:numPr>
      </w:pPr>
      <w:r>
        <w:t xml:space="preserve">Nastavení </w:t>
      </w:r>
      <w:r w:rsidRPr="005A6169">
        <w:t>balancing</w:t>
      </w:r>
      <w:r>
        <w:t>u</w:t>
      </w:r>
      <w:r w:rsidRPr="005A6169">
        <w:t xml:space="preserve"> ne</w:t>
      </w:r>
      <w:r>
        <w:t>smí</w:t>
      </w:r>
      <w:r w:rsidRPr="005A6169">
        <w:t xml:space="preserve"> být </w:t>
      </w:r>
      <w:r>
        <w:t xml:space="preserve">ani do budoucna </w:t>
      </w:r>
      <w:r w:rsidRPr="005A6169">
        <w:t>překážkou bránící vstupu nových účastníků na trh s</w:t>
      </w:r>
      <w:r>
        <w:t> </w:t>
      </w:r>
      <w:r w:rsidRPr="005A6169">
        <w:t>plynem</w:t>
      </w:r>
      <w:r>
        <w:t>,</w:t>
      </w:r>
    </w:p>
    <w:p w14:paraId="286F450C" w14:textId="77777777" w:rsidR="00E1124C" w:rsidRDefault="00E1124C" w:rsidP="00E1124C">
      <w:pPr>
        <w:pStyle w:val="Odstavecseseznamem"/>
        <w:numPr>
          <w:ilvl w:val="0"/>
          <w:numId w:val="4"/>
        </w:numPr>
      </w:pPr>
      <w:r>
        <w:t>Maximální využití stávajících mechanismů – stávající systém balancingu prostřednictvím řady aplikovaných mechanismů vede k naplnění záměrů Nařízení. Současné nastavení je vyzkoušené a trhem akceptované, současně prokazatelně nebrání vzniku a úspěšnému fungování nových obchodníků s plynem.</w:t>
      </w:r>
      <w:r w:rsidRPr="00577D9E">
        <w:t xml:space="preserve"> </w:t>
      </w:r>
      <w:r>
        <w:t xml:space="preserve">V </w:t>
      </w:r>
      <w:r w:rsidRPr="005A6169">
        <w:t>ČR existuje stabilní nastavení balancingu beze změny od roku 2007</w:t>
      </w:r>
      <w:r>
        <w:t xml:space="preserve"> a pokud se na tom shodnou i účastníci trhu, bude ERÚ preferovat v maximální možné míře využít principů a </w:t>
      </w:r>
      <w:r w:rsidRPr="005A6169">
        <w:t>postupů současného nastavení balancingu</w:t>
      </w:r>
      <w:r>
        <w:t>.</w:t>
      </w:r>
    </w:p>
    <w:p w14:paraId="286F450D" w14:textId="77777777" w:rsidR="00E1124C" w:rsidRPr="00B6334C" w:rsidRDefault="00E1124C" w:rsidP="00E1124C">
      <w:r w:rsidRPr="00B6334C">
        <w:t>Na základě výše uvedených základních bodů balancingu musí být nalezeno takové řešení implementace, aby byl balancing:</w:t>
      </w:r>
    </w:p>
    <w:p w14:paraId="286F450E" w14:textId="77777777" w:rsidR="00E1124C" w:rsidRPr="00155000" w:rsidRDefault="00E1124C" w:rsidP="00E1124C">
      <w:pPr>
        <w:pStyle w:val="Odstavecseseznamem"/>
        <w:numPr>
          <w:ilvl w:val="0"/>
          <w:numId w:val="4"/>
        </w:numPr>
      </w:pPr>
      <w:r w:rsidRPr="00155000">
        <w:t>Maximálně jednoduchý na použití</w:t>
      </w:r>
      <w:r>
        <w:t xml:space="preserve"> (uživatelsky přívětivý),</w:t>
      </w:r>
    </w:p>
    <w:p w14:paraId="286F450F" w14:textId="77777777" w:rsidR="00E1124C" w:rsidRPr="00155000" w:rsidRDefault="00E1124C" w:rsidP="00E1124C">
      <w:pPr>
        <w:pStyle w:val="Odstavecseseznamem"/>
        <w:numPr>
          <w:ilvl w:val="0"/>
          <w:numId w:val="4"/>
        </w:numPr>
      </w:pPr>
      <w:r w:rsidRPr="00155000">
        <w:t xml:space="preserve">Odrážející náklady, </w:t>
      </w:r>
      <w:r>
        <w:t>které SZ vyvolaly svojí činností na trhu s plynem v ČR,</w:t>
      </w:r>
    </w:p>
    <w:p w14:paraId="286F4510" w14:textId="77777777" w:rsidR="00E1124C" w:rsidRPr="00155000" w:rsidRDefault="00E1124C" w:rsidP="00E1124C">
      <w:pPr>
        <w:pStyle w:val="Odstavecseseznamem"/>
        <w:numPr>
          <w:ilvl w:val="0"/>
          <w:numId w:val="4"/>
        </w:numPr>
      </w:pPr>
      <w:r w:rsidRPr="00155000">
        <w:t>Zachov</w:t>
      </w:r>
      <w:r>
        <w:t>ávající</w:t>
      </w:r>
      <w:r w:rsidRPr="00155000">
        <w:t xml:space="preserve"> </w:t>
      </w:r>
      <w:r>
        <w:t xml:space="preserve">v maximální míře </w:t>
      </w:r>
      <w:r w:rsidRPr="00155000">
        <w:t>výhody současného nastavení balancingu</w:t>
      </w:r>
      <w:r>
        <w:t>,</w:t>
      </w:r>
    </w:p>
    <w:p w14:paraId="286F4511" w14:textId="77777777" w:rsidR="00E1124C" w:rsidRPr="00155000" w:rsidRDefault="00E1124C" w:rsidP="00E1124C">
      <w:pPr>
        <w:pStyle w:val="Odstavecseseznamem"/>
        <w:numPr>
          <w:ilvl w:val="0"/>
          <w:numId w:val="4"/>
        </w:numPr>
      </w:pPr>
      <w:r w:rsidRPr="00155000">
        <w:t>Přinášející účastníkům trhu dostatečné informace z vývoje soustavy a spotřeby (měření), aby mohli smysluplně</w:t>
      </w:r>
      <w:r>
        <w:t>, nediskriminačně a nákladově efektivně řídit svou bilanci,</w:t>
      </w:r>
    </w:p>
    <w:p w14:paraId="286F4512" w14:textId="77777777" w:rsidR="00E1124C" w:rsidRPr="00155000" w:rsidRDefault="00E1124C" w:rsidP="00E1124C">
      <w:pPr>
        <w:pStyle w:val="Odstavecseseznamem"/>
        <w:numPr>
          <w:ilvl w:val="0"/>
          <w:numId w:val="4"/>
        </w:numPr>
      </w:pPr>
      <w:r>
        <w:t>Motivační, t</w:t>
      </w:r>
      <w:r w:rsidRPr="00155000">
        <w:t>ransparentní</w:t>
      </w:r>
      <w:r>
        <w:t xml:space="preserve"> a nediskriminační,</w:t>
      </w:r>
    </w:p>
    <w:p w14:paraId="286F4513" w14:textId="77777777" w:rsidR="00E1124C" w:rsidRDefault="00E1124C" w:rsidP="00E1124C">
      <w:pPr>
        <w:pStyle w:val="Odstavecseseznamem"/>
        <w:numPr>
          <w:ilvl w:val="0"/>
          <w:numId w:val="4"/>
        </w:numPr>
      </w:pPr>
      <w:r>
        <w:t>Umožňující</w:t>
      </w:r>
      <w:r w:rsidRPr="00155000">
        <w:t xml:space="preserve"> </w:t>
      </w:r>
      <w:r>
        <w:t xml:space="preserve">SZ </w:t>
      </w:r>
      <w:r w:rsidRPr="00155000">
        <w:t>pracovat s</w:t>
      </w:r>
      <w:r>
        <w:t xml:space="preserve"> tržní </w:t>
      </w:r>
      <w:r w:rsidRPr="00155000">
        <w:t>odchylkou prostřednictvím dostatečn</w:t>
      </w:r>
      <w:r>
        <w:t>é</w:t>
      </w:r>
      <w:r w:rsidRPr="00155000">
        <w:t xml:space="preserve"> nabídk</w:t>
      </w:r>
      <w:r>
        <w:t>y</w:t>
      </w:r>
      <w:r w:rsidRPr="00155000">
        <w:t xml:space="preserve"> produktů na trhu </w:t>
      </w:r>
      <w:r>
        <w:t>s dostatečnou likviditou,</w:t>
      </w:r>
    </w:p>
    <w:p w14:paraId="286F4514" w14:textId="77777777" w:rsidR="00E1124C" w:rsidRDefault="00E1124C" w:rsidP="00E1124C">
      <w:pPr>
        <w:pStyle w:val="Odstavecseseznamem"/>
        <w:numPr>
          <w:ilvl w:val="0"/>
          <w:numId w:val="4"/>
        </w:numPr>
      </w:pPr>
      <w:r>
        <w:t>Umožňující hospodárný, bezpečný a spolehlivý provoz plynárenské soustavy neohrožující život, zdraví nebo majetek osob.</w:t>
      </w:r>
    </w:p>
    <w:p w14:paraId="286F4515" w14:textId="77777777" w:rsidR="00E1124C" w:rsidRDefault="00E1124C" w:rsidP="00E1124C">
      <w:pPr>
        <w:spacing w:after="120"/>
      </w:pPr>
      <w:r>
        <w:t>Úřad dále považuje za nezbytné uvést základní předpoklady týkající se řízení bilance ze strany subjektů zúčtování.</w:t>
      </w:r>
    </w:p>
    <w:p w14:paraId="286F4516" w14:textId="77777777" w:rsidR="00E1124C" w:rsidRPr="00CE2B87" w:rsidRDefault="00E1124C" w:rsidP="00E1124C">
      <w:pPr>
        <w:pStyle w:val="Odstavecseseznamem"/>
        <w:numPr>
          <w:ilvl w:val="0"/>
          <w:numId w:val="4"/>
        </w:numPr>
        <w:spacing w:after="60"/>
        <w:ind w:left="714" w:hanging="357"/>
        <w:contextualSpacing w:val="0"/>
      </w:pPr>
      <w:r w:rsidRPr="00CE2B87">
        <w:t>Spotřeba konečných zákazníků je náhodná veličina, kterou lze odhadovat pouze do určité míry a pouze v případě statisticky vyššího množství konečných zákazníků, jejichž náhodné odchylky se vzájemně vykrátí. Spotřebu je tedy nutné odhadovat na základě statistických metod, které jsou pak promítnuty do predikčních nástrojů obchodníků s plynem.</w:t>
      </w:r>
    </w:p>
    <w:p w14:paraId="286F4517" w14:textId="77777777" w:rsidR="00E1124C" w:rsidRPr="00CE2B87" w:rsidRDefault="00E1124C" w:rsidP="00E1124C">
      <w:pPr>
        <w:pStyle w:val="Odstavecseseznamem"/>
        <w:numPr>
          <w:ilvl w:val="0"/>
          <w:numId w:val="4"/>
        </w:numPr>
      </w:pPr>
      <w:r w:rsidRPr="00CE2B87">
        <w:t xml:space="preserve">Každý </w:t>
      </w:r>
      <w:r>
        <w:t>subjekt zúčtování</w:t>
      </w:r>
      <w:r w:rsidRPr="00CE2B87">
        <w:t xml:space="preserve"> je odpovědný za </w:t>
      </w:r>
      <w:r>
        <w:t>vyrovnávání</w:t>
      </w:r>
      <w:r w:rsidRPr="00CE2B87">
        <w:t xml:space="preserve"> </w:t>
      </w:r>
      <w:r>
        <w:t>rozdílů způsobených svým portfoliem zákazníků</w:t>
      </w:r>
      <w:r w:rsidRPr="00CE2B87">
        <w:t>. Toto vyvažování provádí na základě vlastních predikčních nástrojů za využití zveřejňovaných (předávaných) dat.</w:t>
      </w:r>
      <w:r>
        <w:t xml:space="preserve"> Přesnost predikčních nástrojů je však limitována vlivy, které obchodník jen velmi těžko odhadne a to především u odběrů neměřených denně. Zejména u odběrů s měřením typu C nemůže obchodník přesně predikovat nejen teplotu, ale ani hodnotu koeficientu zbytkového diagramu, avšak za výslednou tržní odchylku je odpovědný. Tato skutečnost je v současnosti kompenzována poskytováním volné akumulace přepravní soustavy, ze které je obchodníkovi poskytována tolerance, která z velké části výše uvedenou skutečnost kompenzuje. </w:t>
      </w:r>
      <w:r w:rsidRPr="00186B96">
        <w:t xml:space="preserve">Dle názoru Úřadu </w:t>
      </w:r>
      <w:r>
        <w:t>je stávající model balancingu spravedlivý a nákladově efektivní. Z</w:t>
      </w:r>
      <w:r w:rsidRPr="00186B96">
        <w:t xml:space="preserve">a </w:t>
      </w:r>
      <w:r>
        <w:t xml:space="preserve">tržní </w:t>
      </w:r>
      <w:r w:rsidRPr="00186B96">
        <w:t xml:space="preserve">odchylku </w:t>
      </w:r>
      <w:r>
        <w:t xml:space="preserve">je </w:t>
      </w:r>
      <w:r w:rsidRPr="00186B96">
        <w:t xml:space="preserve">penalizován pouze obchodník, který překročí jemu přidělenou volnou akumulaci systému a to ve směru, který </w:t>
      </w:r>
      <w:r>
        <w:t>přispívá k nežádoucí systémové odchylce soustavy.</w:t>
      </w:r>
    </w:p>
    <w:p w14:paraId="286F4518" w14:textId="77777777" w:rsidR="00E1124C" w:rsidRDefault="00E1124C" w:rsidP="00E1124C">
      <w:pPr>
        <w:pStyle w:val="Nadpis1"/>
      </w:pPr>
      <w:r>
        <w:t>Časový harmonogram</w:t>
      </w:r>
    </w:p>
    <w:p w14:paraId="286F4519" w14:textId="77777777" w:rsidR="00E1124C" w:rsidRDefault="00E1124C" w:rsidP="00E1124C">
      <w:r>
        <w:t>Vzhledem k časové náročnosti příprav změn balancingu nepředpokládáme naplnění lhůty implementace Nařízení k 1. říjnu 2015. Nejpozdější možný termín splnění ustanovení je tímto Nařízením stanoven na 1. října 2016. Vzhledem k nezbytnosti nastavení IT systémů a vyzkoušení systémů v období s nízkou spotřebou plynu navrhuje ERÚ nejpozdější datum účinnosti implementace od 1.  července 2016.</w:t>
      </w:r>
    </w:p>
    <w:p w14:paraId="286F451A" w14:textId="77777777" w:rsidR="00E1124C" w:rsidRDefault="00E1124C" w:rsidP="00E1124C">
      <w:r>
        <w:t>Úřad si je vědom toho, že by ke klíčové změně balancingu došlo v průběhu kalendářního roku. Na základě této skutečnosti dává účastníkům trhu s plynem možnost vyjádřit se k termínu implementace s tím, že jako alternativní termín ERÚ navrhuje 1. ledna 2016. Tento termín je navrhován s tím, aby změna proběhla od počátku kalendářního roku tak, jak probíhá většina ostatních změn v nastavení pravidel trhu s plynem.</w:t>
      </w:r>
    </w:p>
    <w:p w14:paraId="286F451B" w14:textId="77777777" w:rsidR="00E1124C" w:rsidRDefault="00E1124C" w:rsidP="00E1124C">
      <w:r>
        <w:t>Vzhledem k termínu předpokládané implementace nebudou uplatněna prozatímní opatření uvedená v Kapitole X Nařízení.</w:t>
      </w:r>
    </w:p>
    <w:p w14:paraId="286F451C" w14:textId="77777777" w:rsidR="00E1124C" w:rsidRPr="00567DCA" w:rsidRDefault="00E1124C" w:rsidP="00E1124C">
      <w:pPr>
        <w:keepNext/>
        <w:pBdr>
          <w:top w:val="single" w:sz="4" w:space="1" w:color="auto"/>
          <w:left w:val="single" w:sz="4" w:space="4" w:color="auto"/>
          <w:bottom w:val="single" w:sz="4" w:space="1" w:color="auto"/>
          <w:right w:val="single" w:sz="4" w:space="4" w:color="auto"/>
        </w:pBdr>
        <w:rPr>
          <w:rStyle w:val="Zvraznn"/>
        </w:rPr>
      </w:pPr>
      <w:r w:rsidRPr="00567DCA">
        <w:rPr>
          <w:rStyle w:val="Zvraznn"/>
        </w:rPr>
        <w:t>Po zvážení všech dopadů navrhuji termín zahájení účin</w:t>
      </w:r>
      <w:r>
        <w:rPr>
          <w:rStyle w:val="Zvraznn"/>
        </w:rPr>
        <w:t>n</w:t>
      </w:r>
      <w:r w:rsidRPr="00567DCA">
        <w:rPr>
          <w:rStyle w:val="Zvraznn"/>
        </w:rPr>
        <w:t>osti nového balancingu v tomto termínu:</w:t>
      </w:r>
    </w:p>
    <w:p w14:paraId="286F451D" w14:textId="77777777" w:rsidR="00E1124C" w:rsidRPr="00567DCA" w:rsidRDefault="00E1124C" w:rsidP="00E1124C">
      <w:pPr>
        <w:pBdr>
          <w:top w:val="single" w:sz="4" w:space="1" w:color="auto"/>
          <w:left w:val="single" w:sz="4" w:space="4" w:color="auto"/>
          <w:bottom w:val="single" w:sz="4" w:space="1" w:color="auto"/>
          <w:right w:val="single" w:sz="4" w:space="4" w:color="auto"/>
        </w:pBdr>
        <w:rPr>
          <w:rStyle w:val="Zvraznn"/>
        </w:rPr>
      </w:pPr>
      <w:r w:rsidRPr="00567DCA">
        <w:rPr>
          <w:rStyle w:val="Zvraznn"/>
        </w:rPr>
        <w:t>Termín:</w:t>
      </w:r>
    </w:p>
    <w:p w14:paraId="286F451E" w14:textId="77777777" w:rsidR="00E1124C" w:rsidRDefault="00E1124C" w:rsidP="00E1124C">
      <w:pPr>
        <w:pBdr>
          <w:top w:val="single" w:sz="4" w:space="1" w:color="auto"/>
          <w:left w:val="single" w:sz="4" w:space="4" w:color="auto"/>
          <w:bottom w:val="single" w:sz="4" w:space="1" w:color="auto"/>
          <w:right w:val="single" w:sz="4" w:space="4" w:color="auto"/>
        </w:pBdr>
        <w:rPr>
          <w:rStyle w:val="Zvraznn"/>
        </w:rPr>
      </w:pPr>
      <w:r>
        <w:rPr>
          <w:rStyle w:val="Zvraznn"/>
        </w:rPr>
        <w:t>Odůvodnění:</w:t>
      </w:r>
    </w:p>
    <w:p w14:paraId="286F451F" w14:textId="77777777" w:rsidR="00E1124C" w:rsidRPr="00E80974" w:rsidRDefault="00E1124C" w:rsidP="00E1124C">
      <w:r>
        <w:t>ERÚ předpokládá implementaci Nařízení podle rámcového harmonogramu uvedeného v tabulce 1. Zároveň si Úřad vyhrazuje právo upřesnit, popř. upravit jednotlivé mezní termíny na základě připomínek vznesených po ukončení a vyhodnocení každé fáze projektu.</w:t>
      </w:r>
    </w:p>
    <w:tbl>
      <w:tblPr>
        <w:tblStyle w:val="Mkatabulky"/>
        <w:tblW w:w="9322" w:type="dxa"/>
        <w:tblLook w:val="04A0" w:firstRow="1" w:lastRow="0" w:firstColumn="1" w:lastColumn="0" w:noHBand="0" w:noVBand="1"/>
      </w:tblPr>
      <w:tblGrid>
        <w:gridCol w:w="1940"/>
        <w:gridCol w:w="7382"/>
      </w:tblGrid>
      <w:tr w:rsidR="00E1124C" w:rsidRPr="00EC761B" w14:paraId="286F4522" w14:textId="77777777" w:rsidTr="006853BA">
        <w:tc>
          <w:tcPr>
            <w:tcW w:w="1940" w:type="dxa"/>
          </w:tcPr>
          <w:p w14:paraId="286F4520" w14:textId="77777777" w:rsidR="00E1124C" w:rsidRPr="00E80974" w:rsidRDefault="00E1124C" w:rsidP="006853BA">
            <w:pPr>
              <w:pStyle w:val="Odstavecseseznamem"/>
              <w:ind w:left="0"/>
              <w:jc w:val="center"/>
              <w:rPr>
                <w:b/>
              </w:rPr>
            </w:pPr>
            <w:r w:rsidRPr="00E80974">
              <w:rPr>
                <w:b/>
              </w:rPr>
              <w:t>Termín</w:t>
            </w:r>
          </w:p>
        </w:tc>
        <w:tc>
          <w:tcPr>
            <w:tcW w:w="7382" w:type="dxa"/>
          </w:tcPr>
          <w:p w14:paraId="286F4521" w14:textId="77777777" w:rsidR="00E1124C" w:rsidRPr="00E80974" w:rsidRDefault="00E1124C" w:rsidP="006853BA">
            <w:pPr>
              <w:pStyle w:val="Odstavecseseznamem"/>
              <w:ind w:left="0"/>
              <w:jc w:val="center"/>
              <w:rPr>
                <w:b/>
              </w:rPr>
            </w:pPr>
            <w:r w:rsidRPr="00E80974">
              <w:rPr>
                <w:b/>
              </w:rPr>
              <w:t>Fáze</w:t>
            </w:r>
          </w:p>
        </w:tc>
      </w:tr>
      <w:tr w:rsidR="00E1124C" w:rsidRPr="00EC761B" w14:paraId="286F4525" w14:textId="77777777" w:rsidTr="006853BA">
        <w:tc>
          <w:tcPr>
            <w:tcW w:w="1940" w:type="dxa"/>
          </w:tcPr>
          <w:p w14:paraId="286F4523" w14:textId="77777777" w:rsidR="00E1124C" w:rsidRPr="00EC761B" w:rsidRDefault="00E1124C" w:rsidP="006853BA">
            <w:r>
              <w:t>4</w:t>
            </w:r>
            <w:r w:rsidRPr="00EC761B">
              <w:t xml:space="preserve">. </w:t>
            </w:r>
            <w:r>
              <w:t>ledna 2015</w:t>
            </w:r>
            <w:r w:rsidRPr="00EC761B">
              <w:t xml:space="preserve"> </w:t>
            </w:r>
          </w:p>
        </w:tc>
        <w:tc>
          <w:tcPr>
            <w:tcW w:w="7382" w:type="dxa"/>
          </w:tcPr>
          <w:p w14:paraId="286F4524" w14:textId="77777777" w:rsidR="00E1124C" w:rsidRPr="00EC761B" w:rsidRDefault="00E1124C" w:rsidP="006853BA">
            <w:pPr>
              <w:pStyle w:val="Odstavecseseznamem"/>
              <w:ind w:left="0"/>
            </w:pPr>
            <w:r>
              <w:t>Zaslání p</w:t>
            </w:r>
            <w:r w:rsidRPr="00EC761B">
              <w:t>řipomín</w:t>
            </w:r>
            <w:r>
              <w:t>ek a podnětů</w:t>
            </w:r>
            <w:r w:rsidRPr="00EC761B">
              <w:t xml:space="preserve"> účastník</w:t>
            </w:r>
            <w:r>
              <w:t>y</w:t>
            </w:r>
            <w:r w:rsidRPr="00EC761B">
              <w:t xml:space="preserve"> trhu</w:t>
            </w:r>
            <w:r>
              <w:t xml:space="preserve"> </w:t>
            </w:r>
          </w:p>
        </w:tc>
      </w:tr>
      <w:tr w:rsidR="00E1124C" w:rsidRPr="00EC761B" w14:paraId="286F4528" w14:textId="77777777" w:rsidTr="006853BA">
        <w:tc>
          <w:tcPr>
            <w:tcW w:w="1940" w:type="dxa"/>
          </w:tcPr>
          <w:p w14:paraId="286F4526" w14:textId="77777777" w:rsidR="00E1124C" w:rsidRPr="00EC761B" w:rsidRDefault="00E1124C" w:rsidP="006853BA">
            <w:r w:rsidRPr="00EC761B">
              <w:t>31. ledn</w:t>
            </w:r>
            <w:r>
              <w:t>a</w:t>
            </w:r>
            <w:r w:rsidRPr="00EC761B">
              <w:t xml:space="preserve"> 2015 </w:t>
            </w:r>
          </w:p>
        </w:tc>
        <w:tc>
          <w:tcPr>
            <w:tcW w:w="7382" w:type="dxa"/>
          </w:tcPr>
          <w:p w14:paraId="286F4527" w14:textId="77777777" w:rsidR="00E1124C" w:rsidRPr="00EC761B" w:rsidRDefault="00E1124C" w:rsidP="006853BA">
            <w:pPr>
              <w:pStyle w:val="Odstavecseseznamem"/>
              <w:ind w:left="0"/>
            </w:pPr>
            <w:r>
              <w:t>V</w:t>
            </w:r>
            <w:r w:rsidRPr="00EC761B">
              <w:t>ypořádání připomínek účastníků trhu</w:t>
            </w:r>
          </w:p>
        </w:tc>
      </w:tr>
      <w:tr w:rsidR="00E1124C" w:rsidRPr="00EC761B" w14:paraId="286F452B" w14:textId="77777777" w:rsidTr="006853BA">
        <w:tc>
          <w:tcPr>
            <w:tcW w:w="1940" w:type="dxa"/>
          </w:tcPr>
          <w:p w14:paraId="286F4529" w14:textId="77777777" w:rsidR="00E1124C" w:rsidRPr="00EC761B" w:rsidRDefault="00E1124C" w:rsidP="006853BA">
            <w:r w:rsidRPr="00EC761B">
              <w:t>15. břez</w:t>
            </w:r>
            <w:r>
              <w:t>na</w:t>
            </w:r>
            <w:r w:rsidRPr="00EC761B">
              <w:t xml:space="preserve"> 2015 </w:t>
            </w:r>
          </w:p>
        </w:tc>
        <w:tc>
          <w:tcPr>
            <w:tcW w:w="7382" w:type="dxa"/>
          </w:tcPr>
          <w:p w14:paraId="286F452A" w14:textId="77777777" w:rsidR="00E1124C" w:rsidRPr="00EC761B" w:rsidRDefault="00E1124C" w:rsidP="006853BA">
            <w:pPr>
              <w:pStyle w:val="Odstavecseseznamem"/>
              <w:ind w:left="0"/>
            </w:pPr>
            <w:r>
              <w:t>F</w:t>
            </w:r>
            <w:r w:rsidRPr="00EC761B">
              <w:t>inální verze modelu balancingu</w:t>
            </w:r>
          </w:p>
        </w:tc>
      </w:tr>
      <w:tr w:rsidR="00E1124C" w:rsidRPr="00EC761B" w14:paraId="286F452E" w14:textId="77777777" w:rsidTr="006853BA">
        <w:tc>
          <w:tcPr>
            <w:tcW w:w="1940" w:type="dxa"/>
          </w:tcPr>
          <w:p w14:paraId="286F452C" w14:textId="77777777" w:rsidR="00E1124C" w:rsidRPr="00EC761B" w:rsidRDefault="00E1124C" w:rsidP="006853BA">
            <w:r w:rsidRPr="00EC761B">
              <w:t xml:space="preserve">31. března </w:t>
            </w:r>
            <w:r>
              <w:t>2015</w:t>
            </w:r>
          </w:p>
        </w:tc>
        <w:tc>
          <w:tcPr>
            <w:tcW w:w="7382" w:type="dxa"/>
          </w:tcPr>
          <w:p w14:paraId="286F452D" w14:textId="77777777" w:rsidR="00E1124C" w:rsidRPr="00EC761B" w:rsidRDefault="00E1124C" w:rsidP="006853BA">
            <w:pPr>
              <w:pStyle w:val="Odstavecseseznamem"/>
              <w:ind w:left="0"/>
            </w:pPr>
            <w:r>
              <w:t>P</w:t>
            </w:r>
            <w:r w:rsidRPr="00EC761B">
              <w:t>řipomínky účastníků trhu k finální verzi modelu balancingu</w:t>
            </w:r>
          </w:p>
        </w:tc>
      </w:tr>
      <w:tr w:rsidR="00E1124C" w:rsidRPr="00EC761B" w14:paraId="286F4531" w14:textId="77777777" w:rsidTr="006853BA">
        <w:tc>
          <w:tcPr>
            <w:tcW w:w="1940" w:type="dxa"/>
          </w:tcPr>
          <w:p w14:paraId="286F452F" w14:textId="77777777" w:rsidR="00E1124C" w:rsidRPr="00EC761B" w:rsidRDefault="00E1124C" w:rsidP="006853BA">
            <w:r w:rsidRPr="00EC761B">
              <w:t xml:space="preserve">15. května </w:t>
            </w:r>
            <w:r>
              <w:t>2015</w:t>
            </w:r>
          </w:p>
        </w:tc>
        <w:tc>
          <w:tcPr>
            <w:tcW w:w="7382" w:type="dxa"/>
          </w:tcPr>
          <w:p w14:paraId="286F4530" w14:textId="77777777" w:rsidR="00E1124C" w:rsidRPr="00EC761B" w:rsidRDefault="00E1124C" w:rsidP="006853BA">
            <w:pPr>
              <w:pStyle w:val="Odstavecseseznamem"/>
              <w:ind w:left="0"/>
            </w:pPr>
            <w:r>
              <w:t>N</w:t>
            </w:r>
            <w:r w:rsidRPr="00EC761B">
              <w:t xml:space="preserve">ávrh novely </w:t>
            </w:r>
            <w:r>
              <w:t>o P</w:t>
            </w:r>
            <w:r w:rsidRPr="00EC761B">
              <w:t>ravid</w:t>
            </w:r>
            <w:r>
              <w:t>lech</w:t>
            </w:r>
            <w:r w:rsidRPr="00EC761B">
              <w:t xml:space="preserve"> trhu s</w:t>
            </w:r>
            <w:r>
              <w:t> </w:t>
            </w:r>
            <w:r w:rsidRPr="00EC761B">
              <w:t>plynem</w:t>
            </w:r>
          </w:p>
        </w:tc>
      </w:tr>
      <w:tr w:rsidR="00E1124C" w:rsidRPr="00EC761B" w14:paraId="286F4534" w14:textId="77777777" w:rsidTr="006853BA">
        <w:tc>
          <w:tcPr>
            <w:tcW w:w="1940" w:type="dxa"/>
          </w:tcPr>
          <w:p w14:paraId="286F4532" w14:textId="77777777" w:rsidR="00E1124C" w:rsidRPr="00EC761B" w:rsidRDefault="00E1124C" w:rsidP="006853BA">
            <w:r w:rsidRPr="00EC761B">
              <w:t xml:space="preserve">31. května </w:t>
            </w:r>
            <w:r>
              <w:t>2015</w:t>
            </w:r>
          </w:p>
        </w:tc>
        <w:tc>
          <w:tcPr>
            <w:tcW w:w="7382" w:type="dxa"/>
          </w:tcPr>
          <w:p w14:paraId="286F4533" w14:textId="77777777" w:rsidR="00E1124C" w:rsidRPr="00EC761B" w:rsidRDefault="00E1124C" w:rsidP="006853BA">
            <w:pPr>
              <w:pStyle w:val="Odstavecseseznamem"/>
              <w:ind w:left="0"/>
            </w:pPr>
            <w:r>
              <w:t>P</w:t>
            </w:r>
            <w:r w:rsidRPr="00EC761B">
              <w:t>řipomínky účastníků trhu s</w:t>
            </w:r>
            <w:r>
              <w:t> </w:t>
            </w:r>
            <w:r w:rsidRPr="00EC761B">
              <w:t>plynem</w:t>
            </w:r>
            <w:r>
              <w:t xml:space="preserve"> k návrhu novely Pravidel trhu s plynem</w:t>
            </w:r>
          </w:p>
        </w:tc>
      </w:tr>
      <w:tr w:rsidR="00E1124C" w:rsidRPr="00EC761B" w14:paraId="286F4537" w14:textId="77777777" w:rsidTr="006853BA">
        <w:tc>
          <w:tcPr>
            <w:tcW w:w="1940" w:type="dxa"/>
          </w:tcPr>
          <w:p w14:paraId="286F4535" w14:textId="77777777" w:rsidR="00E1124C" w:rsidRPr="00EC761B" w:rsidRDefault="00E1124C" w:rsidP="006853BA">
            <w:r w:rsidRPr="00EC761B">
              <w:t xml:space="preserve">15. června 2015 </w:t>
            </w:r>
          </w:p>
        </w:tc>
        <w:tc>
          <w:tcPr>
            <w:tcW w:w="7382" w:type="dxa"/>
          </w:tcPr>
          <w:p w14:paraId="286F4536" w14:textId="77777777" w:rsidR="00E1124C" w:rsidRPr="00EC761B" w:rsidRDefault="00E1124C" w:rsidP="006853BA">
            <w:r>
              <w:t>V</w:t>
            </w:r>
            <w:r w:rsidRPr="00EC761B">
              <w:t>ypořádání připomínek účastníků trhu</w:t>
            </w:r>
            <w:r>
              <w:t xml:space="preserve"> k návrhu novely Pravidel trhu s plynem</w:t>
            </w:r>
          </w:p>
        </w:tc>
      </w:tr>
      <w:tr w:rsidR="00E1124C" w:rsidRPr="00EC761B" w14:paraId="286F453A" w14:textId="77777777" w:rsidTr="006853BA">
        <w:tc>
          <w:tcPr>
            <w:tcW w:w="1940" w:type="dxa"/>
          </w:tcPr>
          <w:p w14:paraId="286F4538" w14:textId="77777777" w:rsidR="00E1124C" w:rsidRPr="00EC761B" w:rsidRDefault="00E1124C" w:rsidP="006853BA">
            <w:r w:rsidRPr="00EC761B">
              <w:t>30. čer</w:t>
            </w:r>
            <w:r>
              <w:t>v</w:t>
            </w:r>
            <w:r w:rsidRPr="00EC761B">
              <w:t>na 2015</w:t>
            </w:r>
          </w:p>
        </w:tc>
        <w:tc>
          <w:tcPr>
            <w:tcW w:w="7382" w:type="dxa"/>
          </w:tcPr>
          <w:p w14:paraId="286F4539" w14:textId="77777777" w:rsidR="00E1124C" w:rsidRPr="00EC761B" w:rsidRDefault="00E1124C" w:rsidP="006853BA">
            <w:pPr>
              <w:keepNext/>
            </w:pPr>
            <w:r>
              <w:t xml:space="preserve">Předložení </w:t>
            </w:r>
            <w:r w:rsidRPr="00EC761B">
              <w:t>návrh</w:t>
            </w:r>
            <w:r>
              <w:t>u</w:t>
            </w:r>
            <w:r w:rsidRPr="00EC761B">
              <w:t xml:space="preserve"> </w:t>
            </w:r>
            <w:r>
              <w:t xml:space="preserve">novely </w:t>
            </w:r>
            <w:r w:rsidRPr="00EC761B">
              <w:t>pravidel trhu s plynem do MPŘ</w:t>
            </w:r>
          </w:p>
        </w:tc>
      </w:tr>
    </w:tbl>
    <w:p w14:paraId="286F453B" w14:textId="77777777" w:rsidR="00E1124C" w:rsidRDefault="00E1124C" w:rsidP="00E1124C">
      <w:pPr>
        <w:pStyle w:val="Titulek"/>
      </w:pPr>
      <w:bookmarkStart w:id="1" w:name="_Ref404763286"/>
      <w:bookmarkStart w:id="2" w:name="_Ref404763188"/>
      <w:r>
        <w:t xml:space="preserve">Tabulka </w:t>
      </w:r>
      <w:fldSimple w:instr=" SEQ Tabulka \* ARABIC ">
        <w:r>
          <w:rPr>
            <w:noProof/>
          </w:rPr>
          <w:t>1</w:t>
        </w:r>
      </w:fldSimple>
      <w:bookmarkEnd w:id="1"/>
      <w:r>
        <w:t>: Harmonogram implementace Nařízení</w:t>
      </w:r>
      <w:bookmarkEnd w:id="2"/>
    </w:p>
    <w:p w14:paraId="286F453C" w14:textId="77777777" w:rsidR="00E1124C" w:rsidRPr="00EC761B" w:rsidRDefault="00E1124C" w:rsidP="00E1124C">
      <w:pPr>
        <w:pStyle w:val="Nadpis1"/>
      </w:pPr>
      <w:r>
        <w:t>Návrhy řešení dílčích oblastní nastavení balancingu</w:t>
      </w:r>
    </w:p>
    <w:p w14:paraId="286F453D" w14:textId="77777777" w:rsidR="00E1124C" w:rsidRPr="00155000" w:rsidRDefault="00E1124C" w:rsidP="00E1124C">
      <w:pPr>
        <w:pStyle w:val="Nadpis2"/>
      </w:pPr>
      <w:r>
        <w:t>Stávající model balancingu</w:t>
      </w:r>
    </w:p>
    <w:p w14:paraId="286F453E" w14:textId="77777777" w:rsidR="00E1124C" w:rsidRDefault="00E1124C" w:rsidP="00E1124C">
      <w:r>
        <w:t xml:space="preserve">Vzhledem ke skutečnosti, že stávající model balancingu funguje v ČR již od roku 2007, navrhuje ERÚ zachovat použitelné principy v maximální míře i nadále. Za klíčové považuje zejména využívání flexibility systému, ve stávajícím znění PTP označované jako tolerance SZ, která je pevně spjata s rezervací distribuční nebo přepravní </w:t>
      </w:r>
      <w:r w:rsidRPr="00126FBF">
        <w:t>kapacity</w:t>
      </w:r>
      <w:r>
        <w:t>. Za další klíčový</w:t>
      </w:r>
      <w:r w:rsidRPr="00126FBF">
        <w:t xml:space="preserve"> </w:t>
      </w:r>
      <w:r>
        <w:t xml:space="preserve">bod </w:t>
      </w:r>
      <w:r w:rsidRPr="00126FBF">
        <w:t xml:space="preserve">považujeme zachování termínů pro podávání nominací </w:t>
      </w:r>
      <w:r>
        <w:t>a</w:t>
      </w:r>
      <w:r w:rsidRPr="00126FBF">
        <w:t xml:space="preserve"> termíny pro zasílání denních dat</w:t>
      </w:r>
      <w:r>
        <w:t>. N</w:t>
      </w:r>
      <w:r w:rsidRPr="00126FBF">
        <w:t>ad</w:t>
      </w:r>
      <w:r>
        <w:t xml:space="preserve"> dnešní rozsah a termíny </w:t>
      </w:r>
      <w:r w:rsidRPr="00126FBF">
        <w:t xml:space="preserve">budou navíc </w:t>
      </w:r>
      <w:r>
        <w:t>v souladu s </w:t>
      </w:r>
      <w:r w:rsidRPr="00126FBF">
        <w:t>požadavk</w:t>
      </w:r>
      <w:r>
        <w:t>y</w:t>
      </w:r>
      <w:r w:rsidRPr="00126FBF">
        <w:t xml:space="preserve"> Nařízení poskytovány také informace </w:t>
      </w:r>
      <w:r>
        <w:t xml:space="preserve">o systému </w:t>
      </w:r>
      <w:r w:rsidRPr="00126FBF">
        <w:t xml:space="preserve">v průběhu </w:t>
      </w:r>
      <w:r>
        <w:t xml:space="preserve">plynárenského </w:t>
      </w:r>
      <w:r w:rsidRPr="00126FBF">
        <w:t>dne.</w:t>
      </w:r>
    </w:p>
    <w:p w14:paraId="286F453F" w14:textId="77777777" w:rsidR="00E1124C" w:rsidRDefault="00E1124C" w:rsidP="00E1124C">
      <w:r>
        <w:t>Výpočet systémové odchylky a závislosti výše platby za odchylky na velikosti systémové odchylky zůstane zachován (pokud nebude možné využít marginálních cen), principy však bude nutné příslušným způsobem modifikovat.</w:t>
      </w:r>
    </w:p>
    <w:p w14:paraId="286F4540" w14:textId="77777777" w:rsidR="00E1124C" w:rsidRDefault="00E1124C" w:rsidP="00E1124C">
      <w:r>
        <w:t xml:space="preserve">Hlavním komunikačním kanálem a partnerem pro subjekty zúčtování pro potřeby vypořádání a zúčtování odchylek bude i nadále OTE. </w:t>
      </w:r>
    </w:p>
    <w:p w14:paraId="286F4541" w14:textId="77777777" w:rsidR="00E1124C" w:rsidRDefault="00E1124C" w:rsidP="00E1124C">
      <w:pPr>
        <w:pBdr>
          <w:top w:val="single" w:sz="4" w:space="1" w:color="auto"/>
          <w:left w:val="single" w:sz="4" w:space="4" w:color="auto"/>
          <w:bottom w:val="single" w:sz="4" w:space="1" w:color="auto"/>
          <w:right w:val="single" w:sz="4" w:space="4" w:color="auto"/>
        </w:pBdr>
        <w:spacing w:after="0"/>
        <w:rPr>
          <w:rStyle w:val="Zvraznn"/>
        </w:rPr>
      </w:pPr>
      <w:r w:rsidRPr="00C95ED4">
        <w:rPr>
          <w:rStyle w:val="Zvraznn"/>
        </w:rPr>
        <w:t>ERÚ vnímá jako podstatn</w:t>
      </w:r>
      <w:r>
        <w:rPr>
          <w:rStyle w:val="Zvraznn"/>
        </w:rPr>
        <w:t>é</w:t>
      </w:r>
      <w:r w:rsidRPr="00C95ED4">
        <w:rPr>
          <w:rStyle w:val="Zvraznn"/>
        </w:rPr>
        <w:t xml:space="preserve"> získ</w:t>
      </w:r>
      <w:r>
        <w:rPr>
          <w:rStyle w:val="Zvraznn"/>
        </w:rPr>
        <w:t>ání</w:t>
      </w:r>
      <w:r w:rsidRPr="00C95ED4">
        <w:rPr>
          <w:rStyle w:val="Zvraznn"/>
        </w:rPr>
        <w:t xml:space="preserve"> zpětn</w:t>
      </w:r>
      <w:r>
        <w:rPr>
          <w:rStyle w:val="Zvraznn"/>
        </w:rPr>
        <w:t>é</w:t>
      </w:r>
      <w:r w:rsidRPr="00C95ED4">
        <w:rPr>
          <w:rStyle w:val="Zvraznn"/>
        </w:rPr>
        <w:t xml:space="preserve"> vazb</w:t>
      </w:r>
      <w:r>
        <w:rPr>
          <w:rStyle w:val="Zvraznn"/>
        </w:rPr>
        <w:t>y</w:t>
      </w:r>
      <w:r w:rsidRPr="00C95ED4">
        <w:rPr>
          <w:rStyle w:val="Zvraznn"/>
        </w:rPr>
        <w:t xml:space="preserve"> od účastníků trhu s plynem ohledně jejich spokojenosti s fungováním stávajícího modelu balancingu.</w:t>
      </w:r>
    </w:p>
    <w:p w14:paraId="286F4542" w14:textId="77777777" w:rsidR="00E1124C" w:rsidRPr="00C95ED4" w:rsidRDefault="00E1124C" w:rsidP="00E1124C">
      <w:pPr>
        <w:pBdr>
          <w:top w:val="single" w:sz="4" w:space="1" w:color="auto"/>
          <w:left w:val="single" w:sz="4" w:space="4" w:color="auto"/>
          <w:bottom w:val="single" w:sz="4" w:space="1" w:color="auto"/>
          <w:right w:val="single" w:sz="4" w:space="4" w:color="auto"/>
        </w:pBdr>
        <w:rPr>
          <w:rStyle w:val="Zvraznn"/>
        </w:rPr>
      </w:pPr>
      <w:r>
        <w:rPr>
          <w:rStyle w:val="Zvraznn"/>
        </w:rPr>
        <w:t>Úřad proto ž</w:t>
      </w:r>
      <w:r w:rsidRPr="00C95ED4">
        <w:rPr>
          <w:rStyle w:val="Zvraznn"/>
        </w:rPr>
        <w:t xml:space="preserve">ádá ÚTP, aby se vyjádřili k této problematice a identifikovali, které prvky stávajícího modelu balancingu považují za neefektivní a omezující, případně aby navrhli oblast a způsob úpravy. </w:t>
      </w:r>
    </w:p>
    <w:tbl>
      <w:tblPr>
        <w:tblStyle w:val="Mkatabulky"/>
        <w:tblW w:w="9316" w:type="dxa"/>
        <w:tblLook w:val="04A0" w:firstRow="1" w:lastRow="0" w:firstColumn="1" w:lastColumn="0" w:noHBand="0" w:noVBand="1"/>
      </w:tblPr>
      <w:tblGrid>
        <w:gridCol w:w="3070"/>
        <w:gridCol w:w="3071"/>
        <w:gridCol w:w="3175"/>
      </w:tblGrid>
      <w:tr w:rsidR="00E1124C" w14:paraId="286F4546" w14:textId="77777777" w:rsidTr="006853BA">
        <w:tc>
          <w:tcPr>
            <w:tcW w:w="3070" w:type="dxa"/>
          </w:tcPr>
          <w:p w14:paraId="286F4543" w14:textId="77777777" w:rsidR="00E1124C" w:rsidRPr="00673469" w:rsidRDefault="00E1124C" w:rsidP="006853BA">
            <w:pPr>
              <w:rPr>
                <w:rStyle w:val="Zvraznn"/>
              </w:rPr>
            </w:pPr>
            <w:r w:rsidRPr="00673469">
              <w:rPr>
                <w:rStyle w:val="Zvraznn"/>
              </w:rPr>
              <w:t>Se současným modelem balancingu jsme spokojeni.</w:t>
            </w:r>
          </w:p>
        </w:tc>
        <w:tc>
          <w:tcPr>
            <w:tcW w:w="3071" w:type="dxa"/>
          </w:tcPr>
          <w:p w14:paraId="286F4544" w14:textId="77777777" w:rsidR="00E1124C" w:rsidRPr="00673469" w:rsidRDefault="00E1124C" w:rsidP="006853BA">
            <w:pPr>
              <w:rPr>
                <w:rStyle w:val="Zvraznn"/>
                <w:b/>
                <w:bCs/>
                <w:color w:val="4F81BD" w:themeColor="accent1"/>
                <w:sz w:val="18"/>
                <w:szCs w:val="18"/>
              </w:rPr>
            </w:pPr>
            <w:r w:rsidRPr="00673469">
              <w:rPr>
                <w:rStyle w:val="Zvraznn"/>
              </w:rPr>
              <w:t>Na stávajícím modelu nejsme spokojeni s</w:t>
            </w:r>
            <w:r>
              <w:rPr>
                <w:rStyle w:val="Zvraznn"/>
              </w:rPr>
              <w:t>:</w:t>
            </w:r>
          </w:p>
        </w:tc>
        <w:tc>
          <w:tcPr>
            <w:tcW w:w="3175" w:type="dxa"/>
          </w:tcPr>
          <w:p w14:paraId="286F4545" w14:textId="77777777" w:rsidR="00E1124C" w:rsidRPr="00673469" w:rsidRDefault="00E1124C" w:rsidP="006853BA">
            <w:pPr>
              <w:rPr>
                <w:rStyle w:val="Zvraznn"/>
                <w:b/>
                <w:bCs/>
                <w:color w:val="4F81BD" w:themeColor="accent1"/>
                <w:sz w:val="18"/>
                <w:szCs w:val="18"/>
              </w:rPr>
            </w:pPr>
            <w:r w:rsidRPr="00673469">
              <w:rPr>
                <w:rStyle w:val="Zvraznn"/>
              </w:rPr>
              <w:t xml:space="preserve">Navrhujeme upravit stávající modelu balancingu </w:t>
            </w:r>
            <w:r>
              <w:rPr>
                <w:rStyle w:val="Zvraznn"/>
              </w:rPr>
              <w:t>následovně</w:t>
            </w:r>
            <w:r w:rsidRPr="00673469">
              <w:rPr>
                <w:rStyle w:val="Zvraznn"/>
              </w:rPr>
              <w:t>:</w:t>
            </w:r>
          </w:p>
        </w:tc>
      </w:tr>
    </w:tbl>
    <w:p w14:paraId="286F4547" w14:textId="77777777" w:rsidR="00E1124C" w:rsidRPr="00155000" w:rsidRDefault="00E1124C" w:rsidP="00E1124C">
      <w:pPr>
        <w:pStyle w:val="Nadpis2"/>
      </w:pPr>
      <w:r w:rsidRPr="00155000">
        <w:t>Vyrovnávací režim</w:t>
      </w:r>
      <w:r>
        <w:t>, vnitrodenní závazky</w:t>
      </w:r>
    </w:p>
    <w:p w14:paraId="286F4548" w14:textId="77777777" w:rsidR="00E1124C" w:rsidRDefault="00E1124C" w:rsidP="00E1124C">
      <w:r>
        <w:t xml:space="preserve">Nařízení ponechává členským státům možnost volby, zda bude balancing založen na hodinové nebo denní bázi. Na základě vyhodnocení dopadů na trh s plynem v ČR </w:t>
      </w:r>
      <w:r w:rsidRPr="002B5FFE">
        <w:t xml:space="preserve">navrhuje </w:t>
      </w:r>
      <w:r>
        <w:t>E</w:t>
      </w:r>
      <w:r w:rsidRPr="002B5FFE">
        <w:t xml:space="preserve">RÚ ponechat denní </w:t>
      </w:r>
      <w:r>
        <w:t>režim balancingu. V souvislosti s tímto návrhem ERÚ nenavrhuje implementaci ustanovení týkajících se vnitrodenních závazků.</w:t>
      </w:r>
    </w:p>
    <w:p w14:paraId="286F4549" w14:textId="77777777" w:rsidR="00E1124C" w:rsidRPr="00B20F02" w:rsidRDefault="00E1124C" w:rsidP="00E1124C">
      <w:r>
        <w:t>V případě připojení nových odběrných míst k plynárenské soustavě, která by mohla ohrožovat stabilitu plynárenské soustavy (odběrná místa s velkým a nepravidelným charakterem odběru), je ERÚ připraven pružně reagovat nastavením takových mechanismů, které zajistí dostatečné informace o vývoji očekávané spotřeby v průběhu plynárenského dne např. prostřednictvím hodinových nominací, on-line přenosu dat apod.</w:t>
      </w:r>
    </w:p>
    <w:p w14:paraId="286F454A" w14:textId="77777777" w:rsidR="00E1124C" w:rsidRPr="00887C8C" w:rsidRDefault="00E1124C" w:rsidP="00E1124C">
      <w:pPr>
        <w:pStyle w:val="Nadpis2"/>
      </w:pPr>
      <w:r w:rsidRPr="00887C8C">
        <w:t>Alokace</w:t>
      </w:r>
    </w:p>
    <w:p w14:paraId="286F454B" w14:textId="77777777" w:rsidR="00E1124C" w:rsidRDefault="00E1124C" w:rsidP="00E1124C">
      <w:r>
        <w:t xml:space="preserve">V současné době existují tři typy alokací (denní, měsíční, závěrečné měsíční). Požadavky Nařízení vytváří větší tlak na přesnost hodnoty denních alokací. ERÚ se proto domnívá, že bude nutné upravit přístupy k některým typům měření. ERÚ považuje za nevyřešenou otázku, jaké alokace použít pro platby za tržní odchylku subjektu zúčtování a jakým způsobem určit cenu, za níž budou vypořádány rozdíly mezi jednotlivými alokacemi. </w:t>
      </w:r>
    </w:p>
    <w:p w14:paraId="286F454C" w14:textId="77777777" w:rsidR="00E1124C" w:rsidRDefault="00E1124C" w:rsidP="00E1124C">
      <w:r>
        <w:t xml:space="preserve">V současnosti je systém nastaven tak, že hodnoty z měsíčních alokací odpovídají množství plynu, které jednotliví uživatelé sítě do/ze soustav dodali/odebrali. Rozdíly mezi měsíčním a závěrečným měsíčním zúčtováním se pro účely vyrovnávání řeší obdobným principem a za obdobnou cenu jako clearing C. </w:t>
      </w:r>
    </w:p>
    <w:p w14:paraId="286F454D" w14:textId="77777777" w:rsidR="00E1124C" w:rsidRDefault="00E1124C" w:rsidP="00E1124C">
      <w:r>
        <w:t>Model balancingu podle Nařízení předpokládá co nejpřesnější hodnotu denních alokací pro možnost minimalizace tržní odchylky a s tím spojenými náklady přímo jednotlivým SZ. Z výše uvedených důvodů bude vhodné řešit tržní odchylky pouze na základě denních alokací. Toto je možné pouze za předpokladu minimalizace rozdílu mezi měsíční a denní alokací.</w:t>
      </w:r>
    </w:p>
    <w:p w14:paraId="286F454E" w14:textId="77777777" w:rsidR="00E1124C" w:rsidRPr="001313DB" w:rsidRDefault="00E1124C" w:rsidP="00E1124C">
      <w:pPr>
        <w:pBdr>
          <w:top w:val="single" w:sz="4" w:space="1" w:color="auto"/>
          <w:left w:val="single" w:sz="4" w:space="4" w:color="auto"/>
          <w:bottom w:val="single" w:sz="4" w:space="1" w:color="auto"/>
          <w:right w:val="single" w:sz="4" w:space="4" w:color="auto"/>
        </w:pBdr>
        <w:rPr>
          <w:rStyle w:val="Zvraznn"/>
        </w:rPr>
      </w:pPr>
      <w:r w:rsidRPr="001313DB">
        <w:rPr>
          <w:rStyle w:val="Zvraznn"/>
        </w:rPr>
        <w:t>V souvislosti s tímto bodem žádá Úřad účastníky trhu s plynem, aby se vyjádřili k současné přesnosti alokací plynu.</w:t>
      </w:r>
    </w:p>
    <w:p w14:paraId="286F454F" w14:textId="77777777" w:rsidR="00E1124C" w:rsidRPr="001313DB" w:rsidRDefault="00E1124C" w:rsidP="00E1124C">
      <w:pPr>
        <w:pBdr>
          <w:top w:val="single" w:sz="4" w:space="1" w:color="auto"/>
          <w:left w:val="single" w:sz="4" w:space="4" w:color="auto"/>
          <w:bottom w:val="single" w:sz="4" w:space="1" w:color="auto"/>
          <w:right w:val="single" w:sz="4" w:space="4" w:color="auto"/>
        </w:pBdr>
        <w:rPr>
          <w:rStyle w:val="Zvraznn"/>
        </w:rPr>
      </w:pPr>
      <w:r w:rsidRPr="001313DB">
        <w:rPr>
          <w:rStyle w:val="Zvraznn"/>
        </w:rPr>
        <w:t>Jsem se současnou přesností alokací spokojený.</w:t>
      </w:r>
    </w:p>
    <w:p w14:paraId="286F4550" w14:textId="77777777" w:rsidR="00E1124C" w:rsidRPr="001313DB" w:rsidRDefault="00E1124C" w:rsidP="00E1124C">
      <w:pPr>
        <w:pBdr>
          <w:top w:val="single" w:sz="4" w:space="1" w:color="auto"/>
          <w:left w:val="single" w:sz="4" w:space="4" w:color="auto"/>
          <w:bottom w:val="single" w:sz="4" w:space="1" w:color="auto"/>
          <w:right w:val="single" w:sz="4" w:space="4" w:color="auto"/>
        </w:pBdr>
        <w:rPr>
          <w:rStyle w:val="Zvraznn"/>
        </w:rPr>
      </w:pPr>
      <w:r w:rsidRPr="001313DB">
        <w:rPr>
          <w:rStyle w:val="Zvraznn"/>
        </w:rPr>
        <w:t>Navrhuji zvýšit přesnost denních alokací následujícími opatřeními:</w:t>
      </w:r>
    </w:p>
    <w:p w14:paraId="286F4551" w14:textId="77777777" w:rsidR="00E1124C" w:rsidRDefault="00E1124C" w:rsidP="00E1124C">
      <w:pPr>
        <w:pStyle w:val="Nadpis2"/>
        <w:rPr>
          <w:b w:val="0"/>
        </w:rPr>
      </w:pPr>
      <w:bookmarkStart w:id="3" w:name="alokace"/>
      <w:bookmarkStart w:id="4" w:name="_Ref404942899"/>
      <w:bookmarkEnd w:id="3"/>
      <w:r>
        <w:t>Analýza rozdílů mezi denní a měsíční alokací</w:t>
      </w:r>
      <w:bookmarkEnd w:id="4"/>
    </w:p>
    <w:p w14:paraId="286F4552" w14:textId="77777777" w:rsidR="00E1124C" w:rsidRDefault="00E1124C" w:rsidP="00E1124C">
      <w:pPr>
        <w:spacing w:after="120"/>
      </w:pPr>
      <w:r>
        <w:t>Úřad na základě dostupných informací provedl analýzu příčin vzniku rozdílů mezi denní a měsíční alokací. Na základě této analýzy identifikoval tyto příčiny rozdílů:</w:t>
      </w:r>
    </w:p>
    <w:p w14:paraId="286F4553" w14:textId="77777777" w:rsidR="00E1124C" w:rsidRPr="0092367F" w:rsidRDefault="00E1124C" w:rsidP="00E1124C">
      <w:pPr>
        <w:pStyle w:val="Odstavecseseznamem"/>
        <w:numPr>
          <w:ilvl w:val="0"/>
          <w:numId w:val="12"/>
        </w:numPr>
      </w:pPr>
      <w:r w:rsidRPr="0092367F">
        <w:t xml:space="preserve">Chyby měření typu A, které </w:t>
      </w:r>
      <w:r>
        <w:t>jsou odhaleny</w:t>
      </w:r>
      <w:r w:rsidRPr="0092367F">
        <w:t xml:space="preserve"> v průběhu nebo na konci měsíce.</w:t>
      </w:r>
    </w:p>
    <w:p w14:paraId="286F4554" w14:textId="77777777" w:rsidR="00E1124C" w:rsidRPr="0092367F" w:rsidRDefault="00E1124C" w:rsidP="00E1124C">
      <w:pPr>
        <w:pStyle w:val="Odstavecseseznamem"/>
        <w:numPr>
          <w:ilvl w:val="0"/>
          <w:numId w:val="12"/>
        </w:numPr>
      </w:pPr>
      <w:r>
        <w:t>R</w:t>
      </w:r>
      <w:r w:rsidRPr="0092367F">
        <w:t xml:space="preserve">ozdíl mezi skutečnou a očekávanou spotřebou na </w:t>
      </w:r>
      <w:r>
        <w:t xml:space="preserve">odběrných místech osazených </w:t>
      </w:r>
      <w:r w:rsidRPr="0092367F">
        <w:t>měření</w:t>
      </w:r>
      <w:r>
        <w:t>m</w:t>
      </w:r>
      <w:r w:rsidRPr="0092367F">
        <w:t xml:space="preserve"> typu B v jednotlivých dnech.</w:t>
      </w:r>
    </w:p>
    <w:p w14:paraId="286F4555" w14:textId="77777777" w:rsidR="00E1124C" w:rsidRPr="0092367F" w:rsidRDefault="00E1124C" w:rsidP="00E1124C">
      <w:pPr>
        <w:pStyle w:val="Odstavecseseznamem"/>
        <w:numPr>
          <w:ilvl w:val="0"/>
          <w:numId w:val="12"/>
        </w:numPr>
      </w:pPr>
      <w:r w:rsidRPr="0092367F">
        <w:t>Rozdíl mezi skutečnou a očekávanou spotřebou měření typu CM za měsíc a rozdíl mezi přepočteným typovým diagramem a korigovaným přepočteným TDD.</w:t>
      </w:r>
    </w:p>
    <w:p w14:paraId="286F4556" w14:textId="77777777" w:rsidR="00E1124C" w:rsidRPr="0092367F" w:rsidRDefault="00E1124C" w:rsidP="00E1124C">
      <w:pPr>
        <w:pStyle w:val="Odstavecseseznamem"/>
        <w:numPr>
          <w:ilvl w:val="0"/>
          <w:numId w:val="12"/>
        </w:numPr>
      </w:pPr>
      <w:r w:rsidRPr="0092367F">
        <w:t xml:space="preserve">Práce s akumulací </w:t>
      </w:r>
      <w:r>
        <w:t xml:space="preserve">na úrovni </w:t>
      </w:r>
      <w:r w:rsidRPr="0092367F">
        <w:t>DSO, práce se ztrátami.</w:t>
      </w:r>
    </w:p>
    <w:p w14:paraId="286F4557" w14:textId="77777777" w:rsidR="00E1124C" w:rsidRDefault="00E1124C" w:rsidP="00E1124C">
      <w:pPr>
        <w:pStyle w:val="Odstavecseseznamem"/>
        <w:numPr>
          <w:ilvl w:val="0"/>
          <w:numId w:val="12"/>
        </w:numPr>
      </w:pPr>
      <w:r w:rsidRPr="0092367F">
        <w:t xml:space="preserve">Chyby na měření </w:t>
      </w:r>
      <w:r>
        <w:t xml:space="preserve">na předávacím místě </w:t>
      </w:r>
      <w:r w:rsidRPr="0092367F">
        <w:t xml:space="preserve">mezi TSO-DSO a </w:t>
      </w:r>
      <w:r>
        <w:t xml:space="preserve">na předávacím místě </w:t>
      </w:r>
      <w:r w:rsidRPr="0092367F">
        <w:t>mezi DSO-DSO</w:t>
      </w:r>
      <w:r>
        <w:t xml:space="preserve"> a DSO-SSO</w:t>
      </w:r>
      <w:r w:rsidRPr="0092367F">
        <w:t>.</w:t>
      </w:r>
    </w:p>
    <w:p w14:paraId="286F4558" w14:textId="77777777" w:rsidR="00E1124C" w:rsidRPr="00152FCA" w:rsidRDefault="00E1124C" w:rsidP="00E1124C">
      <w:pPr>
        <w:pBdr>
          <w:top w:val="single" w:sz="4" w:space="1" w:color="auto"/>
          <w:left w:val="single" w:sz="4" w:space="4" w:color="auto"/>
          <w:bottom w:val="single" w:sz="4" w:space="1" w:color="auto"/>
          <w:right w:val="single" w:sz="4" w:space="4" w:color="auto"/>
        </w:pBdr>
        <w:rPr>
          <w:rStyle w:val="Zvraznn"/>
        </w:rPr>
      </w:pPr>
      <w:r w:rsidRPr="00152FCA">
        <w:rPr>
          <w:rStyle w:val="Zvraznn"/>
        </w:rPr>
        <w:t xml:space="preserve">Cílem Úřadu je minimalizace rozdílů mezi denní a měsíční alokací. Proto vyzývá účastníky trhu s plynem, aby identifikovali, který z výše uvedených bodů je pro jejich společnost relevantní a aby navrhli opatření pro jejich minimalizaci. Případně navrhněte další </w:t>
      </w:r>
      <w:r>
        <w:rPr>
          <w:rStyle w:val="Zvraznn"/>
        </w:rPr>
        <w:t>možné</w:t>
      </w:r>
      <w:r w:rsidRPr="00152FCA">
        <w:rPr>
          <w:rStyle w:val="Zvraznn"/>
        </w:rPr>
        <w:t xml:space="preserve"> zdroje rozdílů mezi denní a měsíční alokací.</w:t>
      </w:r>
    </w:p>
    <w:p w14:paraId="286F4559" w14:textId="77777777" w:rsidR="00E1124C" w:rsidRPr="004B6195" w:rsidRDefault="00E1124C" w:rsidP="00E1124C">
      <w:pPr>
        <w:pStyle w:val="Nadpis2"/>
        <w:rPr>
          <w:b w:val="0"/>
        </w:rPr>
      </w:pPr>
      <w:r w:rsidRPr="004B6195">
        <w:t>Definice a typy odchylek v plynárenské soustavě</w:t>
      </w:r>
    </w:p>
    <w:p w14:paraId="286F455A" w14:textId="77777777" w:rsidR="00E1124C" w:rsidRDefault="00E1124C" w:rsidP="00E1124C">
      <w:pPr>
        <w:spacing w:after="120"/>
      </w:pPr>
      <w:r>
        <w:t>S ohledem na šíři oblastí, kterými se Nařízení zabývá, se jeví současná definice systémové odchylky jako nedostatečná, neboť ne všechny odchylky v plynárenské soustavě jsou vyvolány činností SZ. ERÚ proto předpokládá upřesnění definice odchylky a to tímto rozdělením:</w:t>
      </w:r>
    </w:p>
    <w:p w14:paraId="286F455B" w14:textId="77777777" w:rsidR="00E1124C" w:rsidRDefault="00E1124C" w:rsidP="00E1124C">
      <w:pPr>
        <w:pStyle w:val="Odstavecseseznamem"/>
        <w:numPr>
          <w:ilvl w:val="0"/>
          <w:numId w:val="13"/>
        </w:numPr>
      </w:pPr>
      <w:r>
        <w:t>Systémová odchylka (SO) – součet kladných a záporných tržních odchylek všech subjektů zúčtování v plynárenském dni upravený o využití vyrovnávací, tj. jedná se o odchylku, kterou svou činností vyvolávají a mohou ovlivnit subjekty zúčtování,</w:t>
      </w:r>
    </w:p>
    <w:p w14:paraId="286F455C" w14:textId="77777777" w:rsidR="00E1124C" w:rsidRDefault="00E1124C" w:rsidP="00E1124C">
      <w:pPr>
        <w:pStyle w:val="Odstavecseseznamem"/>
        <w:numPr>
          <w:ilvl w:val="0"/>
          <w:numId w:val="13"/>
        </w:numPr>
      </w:pPr>
      <w:r>
        <w:t>Technická odchylka (TO) – odchylka způsobená jinými vlivy než nominacemi subjektů zúčtování (např. odchylky s okolními přepravními soustavami, odchylky s provozovateli zásobníků plynu, odchylky na předávacích místech mezi přepravou a distribucí),</w:t>
      </w:r>
    </w:p>
    <w:p w14:paraId="286F455D" w14:textId="77777777" w:rsidR="00E1124C" w:rsidRDefault="00E1124C" w:rsidP="00E1124C">
      <w:pPr>
        <w:pStyle w:val="Odstavecseseznamem"/>
        <w:numPr>
          <w:ilvl w:val="0"/>
          <w:numId w:val="13"/>
        </w:numPr>
      </w:pPr>
      <w:r>
        <w:t>Provozní odchylka (PO) – je součet technické a systémové odchylky.</w:t>
      </w:r>
    </w:p>
    <w:p w14:paraId="286F455E" w14:textId="77777777" w:rsidR="00E1124C" w:rsidRDefault="00E1124C" w:rsidP="00E1124C">
      <w:pPr>
        <w:spacing w:before="120"/>
      </w:pPr>
      <w:r>
        <w:t xml:space="preserve">Způsob výpočtu TO a nutné nástroje pro její řízení budou určeny v rámci další fáze implementace. </w:t>
      </w:r>
    </w:p>
    <w:p w14:paraId="286F455F" w14:textId="77777777" w:rsidR="00E1124C" w:rsidRPr="007F5969" w:rsidRDefault="00E1124C" w:rsidP="00E1124C">
      <w:pPr>
        <w:spacing w:before="120"/>
      </w:pPr>
      <w:r>
        <w:t>Subjekty zúčtování se budou podílet na krytí pouze nákladů na SO pokud taková odchylka náklady vyvolá.</w:t>
      </w:r>
    </w:p>
    <w:p w14:paraId="286F4560" w14:textId="77777777" w:rsidR="00E1124C" w:rsidRPr="00B25C6E" w:rsidRDefault="00E1124C" w:rsidP="00E1124C">
      <w:pPr>
        <w:pStyle w:val="Nadpis2"/>
      </w:pPr>
      <w:r w:rsidRPr="00B25C6E">
        <w:t>Vyrovnávací</w:t>
      </w:r>
      <w:r>
        <w:t xml:space="preserve"> </w:t>
      </w:r>
      <w:r w:rsidRPr="00B25C6E">
        <w:t>akce TSO</w:t>
      </w:r>
    </w:p>
    <w:p w14:paraId="286F4561" w14:textId="77777777" w:rsidR="00E1124C" w:rsidRDefault="00E1124C" w:rsidP="00E1124C">
      <w:r>
        <w:t>Z pohledu nařízení se za vyrovnávací akci považuje akce související s tržními odchylkami SZ. Skutečnost, že TSO provádí i jiné akce, které souvisí s provozem soustavy, ale nesouvisí s tržními odchylkami SZ, neoznačujeme jako vyrovnávací akci.</w:t>
      </w:r>
    </w:p>
    <w:p w14:paraId="286F4562" w14:textId="77777777" w:rsidR="00E1124C" w:rsidRDefault="00E1124C" w:rsidP="00E1124C">
      <w:r>
        <w:t xml:space="preserve">V souladu s požadavky čl. 6 nařízení bude primárním nástrojem pro vyrovnávací akci TSO nákup a prodej plynu na krátkodobých trzích. Další využití vyrovnávací služby bude možné pouze po doložení splnění požadavků stanovených v článku 8 Nařízení. </w:t>
      </w:r>
    </w:p>
    <w:p w14:paraId="286F4563" w14:textId="77777777" w:rsidR="00E1124C" w:rsidRDefault="00E1124C" w:rsidP="00E1124C">
      <w:pPr>
        <w:spacing w:after="120"/>
      </w:pPr>
      <w:r>
        <w:t xml:space="preserve">Požadavky čl. 8 Nařízení lze splnit formou konzultačního procesu s účastníky trhu s plynem. TSO zveřejní zprávu o potřebě vyrovnávací služby, která bude obsahovat zejména: </w:t>
      </w:r>
    </w:p>
    <w:p w14:paraId="286F4564" w14:textId="77777777" w:rsidR="00E1124C" w:rsidRDefault="00E1124C" w:rsidP="00E1124C">
      <w:pPr>
        <w:pStyle w:val="Odstavecseseznamem"/>
        <w:numPr>
          <w:ilvl w:val="0"/>
          <w:numId w:val="16"/>
        </w:numPr>
      </w:pPr>
      <w:r>
        <w:t>podrobné zdůvodnění potřeby využití vyrovnávací služby a náklady s ní spojené</w:t>
      </w:r>
    </w:p>
    <w:p w14:paraId="286F4565" w14:textId="77777777" w:rsidR="00E1124C" w:rsidRDefault="00E1124C" w:rsidP="00E1124C">
      <w:pPr>
        <w:pStyle w:val="Odstavecseseznamem"/>
        <w:numPr>
          <w:ilvl w:val="0"/>
          <w:numId w:val="16"/>
        </w:numPr>
      </w:pPr>
      <w:r>
        <w:t>možnosti řešení vyrovnávání soustavy prostřednictvím nákupu a prodeje na krátkodobých trzích</w:t>
      </w:r>
    </w:p>
    <w:p w14:paraId="286F4566" w14:textId="77777777" w:rsidR="00E1124C" w:rsidRDefault="00E1124C" w:rsidP="00E1124C">
      <w:pPr>
        <w:pStyle w:val="Odstavecseseznamem"/>
        <w:numPr>
          <w:ilvl w:val="0"/>
          <w:numId w:val="16"/>
        </w:numPr>
      </w:pPr>
      <w:r>
        <w:t>pro každou aktivaci vyrovnávací služby, její zdůvodnění i s konkrétními údaji o stavu sítě (SO, TO, akumulace systému, apod.):</w:t>
      </w:r>
    </w:p>
    <w:p w14:paraId="286F4567" w14:textId="77777777" w:rsidR="00E1124C" w:rsidRDefault="00E1124C" w:rsidP="00E1124C">
      <w:pPr>
        <w:pStyle w:val="Odstavecseseznamem"/>
        <w:numPr>
          <w:ilvl w:val="1"/>
          <w:numId w:val="16"/>
        </w:numPr>
      </w:pPr>
      <w:r>
        <w:t>proč bylo nutné vyrovnávací službu využít,</w:t>
      </w:r>
    </w:p>
    <w:p w14:paraId="286F4568" w14:textId="77777777" w:rsidR="00E1124C" w:rsidRDefault="00E1124C" w:rsidP="00E1124C">
      <w:pPr>
        <w:pStyle w:val="Odstavecseseznamem"/>
        <w:numPr>
          <w:ilvl w:val="1"/>
          <w:numId w:val="16"/>
        </w:numPr>
      </w:pPr>
      <w:r>
        <w:t>proč nebylo možné danou transakci realizovat prostřednictví nákupu/prodeje plynu na krátkodobých trzích ideálně s doložením pokusu o zobchodování dané transakce a uvedením místa, kde měla být obchodována,</w:t>
      </w:r>
    </w:p>
    <w:p w14:paraId="286F4569" w14:textId="77777777" w:rsidR="00E1124C" w:rsidRDefault="00E1124C" w:rsidP="00E1124C">
      <w:pPr>
        <w:pStyle w:val="Odstavecseseznamem"/>
        <w:numPr>
          <w:ilvl w:val="1"/>
          <w:numId w:val="16"/>
        </w:numPr>
      </w:pPr>
      <w:r>
        <w:t>příčinu (nebo příčiny) vzniku nerovnováhy, která byla vyrovnána,</w:t>
      </w:r>
    </w:p>
    <w:p w14:paraId="286F456A" w14:textId="77777777" w:rsidR="00E1124C" w:rsidRDefault="00E1124C" w:rsidP="00E1124C">
      <w:pPr>
        <w:pStyle w:val="Odstavecseseznamem"/>
        <w:numPr>
          <w:ilvl w:val="1"/>
          <w:numId w:val="16"/>
        </w:numPr>
      </w:pPr>
      <w:r>
        <w:t>ostatní transakce TSO v daném dni (nákup/prodej plynu),</w:t>
      </w:r>
    </w:p>
    <w:p w14:paraId="286F456B" w14:textId="77777777" w:rsidR="00E1124C" w:rsidRDefault="00E1124C" w:rsidP="00E1124C">
      <w:pPr>
        <w:pStyle w:val="Odstavecseseznamem"/>
        <w:numPr>
          <w:ilvl w:val="0"/>
          <w:numId w:val="16"/>
        </w:numPr>
      </w:pPr>
      <w:r>
        <w:t>potřebnou velikost vyrovnávací služby pro jednotlivé měsíce,</w:t>
      </w:r>
    </w:p>
    <w:p w14:paraId="286F456C" w14:textId="77777777" w:rsidR="00E1124C" w:rsidRDefault="00E1124C" w:rsidP="00E1124C">
      <w:pPr>
        <w:pStyle w:val="Odstavecseseznamem"/>
        <w:numPr>
          <w:ilvl w:val="0"/>
          <w:numId w:val="16"/>
        </w:numPr>
      </w:pPr>
      <w:r>
        <w:t>definice nástrojů a termínů, kterými chce provozovatel přepravní soustavy vyrovnávací služby pokrývat:</w:t>
      </w:r>
    </w:p>
    <w:p w14:paraId="286F456D" w14:textId="77777777" w:rsidR="00E1124C" w:rsidRDefault="00E1124C" w:rsidP="00E1124C">
      <w:pPr>
        <w:pStyle w:val="Odstavecseseznamem"/>
        <w:numPr>
          <w:ilvl w:val="1"/>
          <w:numId w:val="16"/>
        </w:numPr>
      </w:pPr>
      <w:r>
        <w:t>např. flexibilní kontrakty, skladovací kapacita,</w:t>
      </w:r>
    </w:p>
    <w:p w14:paraId="286F456E" w14:textId="77777777" w:rsidR="00E1124C" w:rsidRDefault="00E1124C" w:rsidP="00E1124C">
      <w:pPr>
        <w:pStyle w:val="Odstavecseseznamem"/>
        <w:numPr>
          <w:ilvl w:val="1"/>
          <w:numId w:val="16"/>
        </w:numPr>
      </w:pPr>
      <w:r>
        <w:t>období, které bude daným nástrojem pokrýváno.</w:t>
      </w:r>
    </w:p>
    <w:p w14:paraId="286F456F" w14:textId="77777777" w:rsidR="00E1124C" w:rsidRDefault="00E1124C" w:rsidP="00E1124C">
      <w:r>
        <w:t xml:space="preserve">Tuto zprávu TSO projedná formou konzultačního procesu s účastníky trhu s plynem a spolu s vypořádáním připomínek předloží Úřadu, který rozhodne o případné další možnosti využití vyrovnávacích služeb. </w:t>
      </w:r>
    </w:p>
    <w:p w14:paraId="286F4570" w14:textId="77777777" w:rsidR="00E1124C" w:rsidRDefault="00E1124C" w:rsidP="00E1124C">
      <w:r>
        <w:t xml:space="preserve">V souladu s ustanovením čl. 8 bodu 6 a 7 Nařízení provede TSO přezkoumání využívání vyrovnávacích služeb a </w:t>
      </w:r>
      <w:r w:rsidRPr="00EF26C1">
        <w:t>nákladů s nimi spojenými</w:t>
      </w:r>
      <w:r>
        <w:t>. Závěry z tohoto přezkoumání zohlední ve zprávě o potřebě vyrovnávací služby na následující období.</w:t>
      </w:r>
    </w:p>
    <w:p w14:paraId="286F4571" w14:textId="77777777" w:rsidR="00E1124C" w:rsidRDefault="00E1124C" w:rsidP="00E1124C">
      <w:pPr>
        <w:pBdr>
          <w:top w:val="single" w:sz="4" w:space="1" w:color="auto"/>
          <w:left w:val="single" w:sz="4" w:space="4" w:color="auto"/>
          <w:bottom w:val="single" w:sz="4" w:space="1" w:color="auto"/>
          <w:right w:val="single" w:sz="4" w:space="4" w:color="auto"/>
        </w:pBdr>
        <w:rPr>
          <w:rStyle w:val="Zvraznn"/>
        </w:rPr>
      </w:pPr>
      <w:r>
        <w:rPr>
          <w:rStyle w:val="Zvraznn"/>
        </w:rPr>
        <w:t>Uveďte, zda souhlasíte s navrženým postupem konzultace zprávy o potřebě vyrovnávací služby.</w:t>
      </w:r>
    </w:p>
    <w:p w14:paraId="286F4572" w14:textId="77777777" w:rsidR="00E1124C" w:rsidRPr="00555E1A" w:rsidRDefault="00E1124C" w:rsidP="00E1124C">
      <w:pPr>
        <w:pBdr>
          <w:top w:val="single" w:sz="4" w:space="1" w:color="auto"/>
          <w:left w:val="single" w:sz="4" w:space="4" w:color="auto"/>
          <w:bottom w:val="single" w:sz="4" w:space="1" w:color="auto"/>
          <w:right w:val="single" w:sz="4" w:space="4" w:color="auto"/>
        </w:pBdr>
        <w:rPr>
          <w:rStyle w:val="Zvraznn"/>
        </w:rPr>
      </w:pPr>
      <w:r w:rsidRPr="00555E1A">
        <w:rPr>
          <w:rStyle w:val="Zvraznn"/>
        </w:rPr>
        <w:t>Navrhněte, jakým postupem bude provádět TSO prodej a nákup plynu na krátkodobých trzích. Jak budou odlišeny vyrovnávací akce pro potřeby řešení TO a pro potřeby řešení SO.</w:t>
      </w:r>
    </w:p>
    <w:p w14:paraId="286F4573" w14:textId="77777777" w:rsidR="00E1124C" w:rsidRPr="004B14A5" w:rsidRDefault="00E1124C" w:rsidP="00E1124C">
      <w:pPr>
        <w:pStyle w:val="Nadpis2"/>
      </w:pPr>
      <w:r w:rsidRPr="004B14A5">
        <w:t>Cena za vyrovnávací plyn</w:t>
      </w:r>
    </w:p>
    <w:p w14:paraId="286F4574" w14:textId="77777777" w:rsidR="00E1124C" w:rsidRDefault="00E1124C" w:rsidP="00E1124C">
      <w:r>
        <w:t xml:space="preserve">Pro účely stanovení ceny za vyrovnávací plyn bude uvažována pouze SO a s ní související vyrovnávací akce TSO a s nimi spojené náklady. </w:t>
      </w:r>
    </w:p>
    <w:p w14:paraId="286F4575" w14:textId="77777777" w:rsidR="00E1124C" w:rsidRDefault="00E1124C" w:rsidP="00E1124C">
      <w:pPr>
        <w:spacing w:after="120"/>
      </w:pPr>
      <w:r>
        <w:t xml:space="preserve">Vzhledem k topologii plynárenské soustavy v ČR a vzhledem ke stávajícímu systému balancingu je pravděpodobné, že bude nutné rozlišit dva stavy při stanovování ceny za vyrovnávací plyn: </w:t>
      </w:r>
    </w:p>
    <w:p w14:paraId="286F4576" w14:textId="77777777" w:rsidR="00E1124C" w:rsidRDefault="00E1124C" w:rsidP="00E1124C">
      <w:pPr>
        <w:pStyle w:val="Odstavecseseznamem"/>
        <w:numPr>
          <w:ilvl w:val="0"/>
          <w:numId w:val="14"/>
        </w:numPr>
      </w:pPr>
      <w:r>
        <w:t xml:space="preserve">Prvním stavem je případ, kdy není TSO nucen učinit vyrovnávací akci (očekávaná odchylka SO se pohybuje v povolených mezích). </w:t>
      </w:r>
    </w:p>
    <w:p w14:paraId="286F4577" w14:textId="77777777" w:rsidR="00E1124C" w:rsidRDefault="00E1124C" w:rsidP="00E1124C">
      <w:pPr>
        <w:pStyle w:val="Odstavecseseznamem"/>
        <w:numPr>
          <w:ilvl w:val="0"/>
          <w:numId w:val="14"/>
        </w:numPr>
      </w:pPr>
      <w:r>
        <w:t>Druhým stavem je případ, kdy je TSO nucen učinit vyrovnávací akci (očekávaná odchylka SO překračuje povolené meze). TSO primárně provede nákup nebo prodej plynu na krátkodobých trzích.</w:t>
      </w:r>
    </w:p>
    <w:p w14:paraId="286F4578" w14:textId="77777777" w:rsidR="00E1124C" w:rsidRDefault="00E1124C" w:rsidP="00E1124C">
      <w:r>
        <w:t xml:space="preserve">Pro první stav bude nutné použít náhradní cenu z některého z relevantních trhů s případným malým cenovým příplatkem, u druhého případu lze využít marginální ceny nebo kombinace dosažené ceny a případné malé cenové úpravy. </w:t>
      </w:r>
    </w:p>
    <w:p w14:paraId="286F4579" w14:textId="77777777" w:rsidR="00E1124C" w:rsidRDefault="00E1124C" w:rsidP="00E1124C">
      <w:r>
        <w:t>Cílem ERÚ je nepostihovat ty SZ, které nevyvolávají soustavě náklady, tedy ty SZ, u kterých je odchylka v opačném směru, než je SO a ty SZ, u kterých je výše odchylky v rámci flexibility prostřednictvím akumulace. Velikost malé cenové úpravy pro případy, kdy nebude prováděna vyrovnávací akce (nebude marginální cena) bude stanovena jako funkce závislá na velikosti SO.</w:t>
      </w:r>
    </w:p>
    <w:p w14:paraId="286F457A" w14:textId="77777777" w:rsidR="00E1124C" w:rsidRDefault="00E1124C" w:rsidP="00E1124C">
      <w:r>
        <w:t>Za účelem minimalizace vícenákladů na straně SZ, bude jednotlivým SZ umožněno zobchodovat v rámci poskytované flexibility prostřednictvím akumulace odchylku bilance svého portfolia. Toto zobchodování bude provedeno prostřednictvím infrastruktury OTE (na obdobném principu jako trh s nevyužitou tolerancí v současných PTP).</w:t>
      </w:r>
    </w:p>
    <w:p w14:paraId="286F457B" w14:textId="77777777" w:rsidR="00E1124C" w:rsidRDefault="00E1124C" w:rsidP="00E1124C">
      <w:r>
        <w:t>Za relevantní trh pro určení ceny za vyrovnávací plyn lze využít buď burzu EEX (jako je tomu v současnosti pro většinu denně určovaných cen pro odchylky) nebo ideálně, bude-li dostatečně cenotvorná, i některou platformu v ČR.</w:t>
      </w:r>
    </w:p>
    <w:p w14:paraId="286F457C" w14:textId="77777777" w:rsidR="00E1124C" w:rsidRPr="00E420AA" w:rsidRDefault="00E1124C" w:rsidP="00E1124C">
      <w:pPr>
        <w:pBdr>
          <w:top w:val="single" w:sz="4" w:space="1" w:color="auto"/>
          <w:left w:val="single" w:sz="4" w:space="4" w:color="auto"/>
          <w:bottom w:val="single" w:sz="4" w:space="1" w:color="auto"/>
          <w:right w:val="single" w:sz="4" w:space="4" w:color="auto"/>
        </w:pBdr>
        <w:rPr>
          <w:rStyle w:val="Zvraznn"/>
        </w:rPr>
      </w:pPr>
      <w:r w:rsidRPr="00E420AA">
        <w:rPr>
          <w:rStyle w:val="Zvraznn"/>
        </w:rPr>
        <w:t>Navrhněte jakým způsobem a z které platformy by měla být určena náhradní cena za vyrovnávací plyn.</w:t>
      </w:r>
    </w:p>
    <w:p w14:paraId="286F457D" w14:textId="77777777" w:rsidR="00E1124C" w:rsidRPr="00E420AA" w:rsidRDefault="00E1124C" w:rsidP="00E1124C">
      <w:pPr>
        <w:pBdr>
          <w:top w:val="single" w:sz="4" w:space="1" w:color="auto"/>
          <w:left w:val="single" w:sz="4" w:space="4" w:color="auto"/>
          <w:bottom w:val="single" w:sz="4" w:space="1" w:color="auto"/>
          <w:right w:val="single" w:sz="4" w:space="4" w:color="auto"/>
        </w:pBdr>
        <w:rPr>
          <w:rStyle w:val="Zvraznn"/>
        </w:rPr>
      </w:pPr>
      <w:r w:rsidRPr="00E420AA">
        <w:rPr>
          <w:rStyle w:val="Zvraznn"/>
        </w:rPr>
        <w:t>Navrhněte principy stanovení ceny za vyrovnávací plyn pro situaci, kdy není TSO provedena vyrovnávací akce</w:t>
      </w:r>
    </w:p>
    <w:p w14:paraId="286F457E" w14:textId="77777777" w:rsidR="00E1124C" w:rsidRDefault="00E1124C" w:rsidP="00E1124C">
      <w:pPr>
        <w:pBdr>
          <w:top w:val="single" w:sz="4" w:space="1" w:color="auto"/>
          <w:left w:val="single" w:sz="4" w:space="4" w:color="auto"/>
          <w:bottom w:val="single" w:sz="4" w:space="1" w:color="auto"/>
          <w:right w:val="single" w:sz="4" w:space="4" w:color="auto"/>
        </w:pBdr>
        <w:rPr>
          <w:rStyle w:val="Zvraznn"/>
        </w:rPr>
      </w:pPr>
      <w:r w:rsidRPr="00E420AA">
        <w:rPr>
          <w:rStyle w:val="Zvraznn"/>
        </w:rPr>
        <w:t>Navrhněte principy stanovení ceny za vyrovnávací plyn pro situaci, kdy je TSO provedena vyrovnávací akce a to pro SZ, kt</w:t>
      </w:r>
      <w:r>
        <w:rPr>
          <w:rStyle w:val="Zvraznn"/>
        </w:rPr>
        <w:t>erý je v opačném směru, než SO.</w:t>
      </w:r>
    </w:p>
    <w:p w14:paraId="286F457F" w14:textId="77777777" w:rsidR="00E1124C" w:rsidRPr="00E420AA" w:rsidRDefault="00E1124C" w:rsidP="00E1124C">
      <w:pPr>
        <w:pBdr>
          <w:top w:val="single" w:sz="4" w:space="1" w:color="auto"/>
          <w:left w:val="single" w:sz="4" w:space="4" w:color="auto"/>
          <w:bottom w:val="single" w:sz="4" w:space="1" w:color="auto"/>
          <w:right w:val="single" w:sz="4" w:space="4" w:color="auto"/>
        </w:pBdr>
        <w:rPr>
          <w:i/>
          <w:iCs/>
        </w:rPr>
      </w:pPr>
      <w:r w:rsidRPr="00555E1A">
        <w:rPr>
          <w:rStyle w:val="Zvraznn"/>
        </w:rPr>
        <w:t>Jakým způsobem bude TSO informovat účastníky trhu o očekávané výši SO. Jakým způsobem bude TSO informovat účastníky trhu o možnosti dosažení hraničních hodnot SO.</w:t>
      </w:r>
    </w:p>
    <w:p w14:paraId="286F4580" w14:textId="77777777" w:rsidR="00E1124C" w:rsidRPr="004B14A5" w:rsidRDefault="00E1124C" w:rsidP="00E1124C">
      <w:pPr>
        <w:pStyle w:val="Nadpis2"/>
        <w:rPr>
          <w:b w:val="0"/>
        </w:rPr>
      </w:pPr>
      <w:r w:rsidRPr="004B14A5">
        <w:t>Služba flexibility prostřednictvím akumulace</w:t>
      </w:r>
    </w:p>
    <w:p w14:paraId="286F4581" w14:textId="77777777" w:rsidR="00E1124C" w:rsidRPr="00C6655F" w:rsidRDefault="00E1124C" w:rsidP="00E1124C">
      <w:r w:rsidRPr="00C6655F">
        <w:t>Z pohledu ERÚ je již služba flexibility prostřednictvím akumulace uživatelům sítě nabízena, a to dle stávajíc</w:t>
      </w:r>
      <w:r>
        <w:t>í</w:t>
      </w:r>
      <w:r w:rsidRPr="00C6655F">
        <w:t xml:space="preserve"> textace vyhlášky o PTP jako tolerance SZ.</w:t>
      </w:r>
      <w:r>
        <w:t xml:space="preserve"> ERÚ považuje tuto službu za poskytovanou v souladu s ustanovením článků 43 a 44 Nařízení.</w:t>
      </w:r>
    </w:p>
    <w:p w14:paraId="286F4582" w14:textId="77777777" w:rsidR="00E1124C" w:rsidRPr="00C6655F" w:rsidRDefault="00E1124C" w:rsidP="00E1124C">
      <w:r w:rsidRPr="00C6655F">
        <w:t>Cílem ERÚ je v maximální míře zachovat stávající principy výpočtu a využití flexibility prostřednictvím akumulace (tolerance SZ).</w:t>
      </w:r>
    </w:p>
    <w:p w14:paraId="286F4583" w14:textId="77777777" w:rsidR="00E1124C" w:rsidRPr="004B14A5" w:rsidRDefault="00E1124C" w:rsidP="00E1124C">
      <w:pPr>
        <w:pStyle w:val="Nadpis2"/>
      </w:pPr>
      <w:r w:rsidRPr="004B14A5">
        <w:t xml:space="preserve">Zásada </w:t>
      </w:r>
      <w:r w:rsidRPr="003F2F21">
        <w:t>neutrality</w:t>
      </w:r>
    </w:p>
    <w:p w14:paraId="286F4584" w14:textId="77777777" w:rsidR="00E1124C" w:rsidRPr="00EB0233" w:rsidRDefault="00E1124C" w:rsidP="00E1124C">
      <w:r w:rsidRPr="00EB0233">
        <w:t>Cílem ER</w:t>
      </w:r>
      <w:r>
        <w:t>Ú</w:t>
      </w:r>
      <w:r w:rsidRPr="00EB0233">
        <w:t xml:space="preserve"> je takové </w:t>
      </w:r>
      <w:r>
        <w:t>nast</w:t>
      </w:r>
      <w:r w:rsidRPr="00EB0233">
        <w:t>avení modelu balancingu, aby</w:t>
      </w:r>
      <w:r>
        <w:t xml:space="preserve"> </w:t>
      </w:r>
      <w:r w:rsidRPr="00EB0233">
        <w:t xml:space="preserve">finanční prostředky vybrané za </w:t>
      </w:r>
      <w:r>
        <w:t xml:space="preserve">tržní </w:t>
      </w:r>
      <w:r w:rsidRPr="00EB0233">
        <w:t>odchylky vyvolané SZ byly na co nejnižší úrovni nad rámec skutečně vyvolaných nákladů a plně tak reflektovaly potřeb</w:t>
      </w:r>
      <w:r>
        <w:t>u aktivace vyrovnávacích akcí</w:t>
      </w:r>
      <w:r w:rsidRPr="00EB0233">
        <w:t xml:space="preserve">, které nerovnováha </w:t>
      </w:r>
      <w:r>
        <w:t>v plynárenské soustavě</w:t>
      </w:r>
      <w:r w:rsidRPr="00EB0233">
        <w:t xml:space="preserve"> vyvolala.</w:t>
      </w:r>
    </w:p>
    <w:p w14:paraId="286F4585" w14:textId="77777777" w:rsidR="00E1124C" w:rsidRPr="004B14A5" w:rsidRDefault="00E1124C" w:rsidP="00E1124C">
      <w:pPr>
        <w:pStyle w:val="Nadpis2"/>
      </w:pPr>
      <w:r w:rsidRPr="004B14A5">
        <w:t>Clearing C a vliv ztrát DSO</w:t>
      </w:r>
    </w:p>
    <w:p w14:paraId="286F4586" w14:textId="77777777" w:rsidR="00E1124C" w:rsidRDefault="00E1124C" w:rsidP="00E1124C">
      <w:r>
        <w:t xml:space="preserve">Nařízení neřeší problematiku clearingu C, proto bude stávající princip maximálně zachován avšak upraven tak, aby byl minimalizován objem clearingu a rozdíly mezi tržní cenou a cenou využívanou pro clearing. </w:t>
      </w:r>
    </w:p>
    <w:p w14:paraId="286F4587" w14:textId="77777777" w:rsidR="00E1124C" w:rsidRDefault="00E1124C" w:rsidP="00E1124C">
      <w:pPr>
        <w:spacing w:after="120"/>
      </w:pPr>
      <w:r>
        <w:t>Pro potřeby minimalizace objemu clearingu budou analyzovány následující možné příčiny:</w:t>
      </w:r>
    </w:p>
    <w:p w14:paraId="286F4588" w14:textId="77777777" w:rsidR="00E1124C" w:rsidRDefault="00E1124C" w:rsidP="00E1124C">
      <w:pPr>
        <w:pStyle w:val="Odstavecseseznamem"/>
        <w:numPr>
          <w:ilvl w:val="0"/>
          <w:numId w:val="6"/>
        </w:numPr>
      </w:pPr>
      <w:r>
        <w:t>Zařazování odběrných míst do tříd TDD</w:t>
      </w:r>
    </w:p>
    <w:p w14:paraId="286F4589" w14:textId="77777777" w:rsidR="00E1124C" w:rsidRDefault="00E1124C" w:rsidP="00E1124C">
      <w:pPr>
        <w:pStyle w:val="Odstavecseseznamem"/>
        <w:numPr>
          <w:ilvl w:val="0"/>
          <w:numId w:val="6"/>
        </w:numPr>
      </w:pPr>
      <w:r>
        <w:t>Přesnost jednotlivých tříd TDD</w:t>
      </w:r>
    </w:p>
    <w:p w14:paraId="286F458A" w14:textId="77777777" w:rsidR="00E1124C" w:rsidRDefault="00E1124C" w:rsidP="00E1124C">
      <w:pPr>
        <w:pStyle w:val="Odstavecseseznamem"/>
        <w:numPr>
          <w:ilvl w:val="0"/>
          <w:numId w:val="6"/>
        </w:numPr>
      </w:pPr>
      <w:r>
        <w:t>Vliv ztrát DSO (vliv korekce skutečných ztrát)</w:t>
      </w:r>
    </w:p>
    <w:p w14:paraId="286F458B" w14:textId="77777777" w:rsidR="00E1124C" w:rsidRDefault="00E1124C" w:rsidP="00E1124C">
      <w:pPr>
        <w:pBdr>
          <w:top w:val="single" w:sz="4" w:space="1" w:color="auto"/>
          <w:left w:val="single" w:sz="4" w:space="4" w:color="auto"/>
          <w:bottom w:val="single" w:sz="4" w:space="1" w:color="auto"/>
          <w:right w:val="single" w:sz="4" w:space="4" w:color="auto"/>
        </w:pBdr>
      </w:pPr>
      <w:r w:rsidRPr="005D32E9">
        <w:rPr>
          <w:rStyle w:val="Zvraznn"/>
        </w:rPr>
        <w:t>V souvislosti s tímto bodem uveďte, jaké další příčiny považujete za relevantní</w:t>
      </w:r>
      <w:r>
        <w:t xml:space="preserve">. </w:t>
      </w:r>
    </w:p>
    <w:p w14:paraId="286F458C" w14:textId="77777777" w:rsidR="00E1124C" w:rsidRPr="00D71428" w:rsidRDefault="00E1124C" w:rsidP="00E1124C">
      <w:pPr>
        <w:pStyle w:val="Nadpis2"/>
      </w:pPr>
      <w:r>
        <w:t>Role</w:t>
      </w:r>
      <w:r w:rsidRPr="00D71428">
        <w:t xml:space="preserve"> OTE</w:t>
      </w:r>
      <w:r w:rsidRPr="00D71428">
        <w:rPr>
          <w:b w:val="0"/>
        </w:rPr>
        <w:t xml:space="preserve"> </w:t>
      </w:r>
    </w:p>
    <w:p w14:paraId="286F458D" w14:textId="77777777" w:rsidR="00E1124C" w:rsidRDefault="00E1124C" w:rsidP="00E1124C">
      <w:r w:rsidRPr="009813FF">
        <w:t>ERÚ předpokládá zachování stávajícího hlavního komunikačního kanálu SZ-&gt;OTE-&gt;TSO</w:t>
      </w:r>
      <w:r>
        <w:t xml:space="preserve"> a</w:t>
      </w:r>
      <w:r w:rsidRPr="009813FF">
        <w:t xml:space="preserve"> </w:t>
      </w:r>
      <w:r>
        <w:t>m</w:t>
      </w:r>
      <w:r w:rsidRPr="009813FF">
        <w:t>aximální využití všech stávajících platforem (</w:t>
      </w:r>
      <w:r>
        <w:t>vnitrodenní trh, denní trh, trh s nevyužitou tolerancí). Snahou ERÚ</w:t>
      </w:r>
      <w:r w:rsidRPr="009813FF">
        <w:t xml:space="preserve"> je minimaliz</w:t>
      </w:r>
      <w:r>
        <w:t>ace</w:t>
      </w:r>
      <w:r w:rsidRPr="009813FF">
        <w:t xml:space="preserve"> náklad</w:t>
      </w:r>
      <w:r>
        <w:t>ů</w:t>
      </w:r>
      <w:r w:rsidRPr="009813FF">
        <w:t xml:space="preserve"> </w:t>
      </w:r>
      <w:r>
        <w:t xml:space="preserve">spojených </w:t>
      </w:r>
      <w:r w:rsidRPr="009813FF">
        <w:t xml:space="preserve">s implementací </w:t>
      </w:r>
      <w:r>
        <w:t xml:space="preserve">Nařízení </w:t>
      </w:r>
      <w:r w:rsidRPr="009813FF">
        <w:t>jak na straně provozovatelů, tak na straně SZ.</w:t>
      </w:r>
    </w:p>
    <w:p w14:paraId="286F458E" w14:textId="77777777" w:rsidR="00E1124C" w:rsidRPr="009813FF" w:rsidRDefault="00E1124C" w:rsidP="00E1124C">
      <w:r>
        <w:t>Úřad předpokládá, že činnosti, které dnes OTE vykonává, budou zachovány v jeho kompetenci, neboť přispívají k nediskriminačním a transparentním podmínkám na trhu s plynem v ČR.</w:t>
      </w:r>
    </w:p>
    <w:p w14:paraId="286F458F" w14:textId="77777777" w:rsidR="00E1124C" w:rsidRPr="009E2C0A" w:rsidRDefault="00E1124C" w:rsidP="00E1124C">
      <w:r w:rsidRPr="009E2C0A">
        <w:t>Formát zpráv předávaných mezi účastníky trhu s plynem přes OTE musí dle názoru ERÚ respektovat stávající nastavení a zároveň zohlednit trendy ve formátu výměny informací na evropské úrovni (</w:t>
      </w:r>
      <w:r>
        <w:t xml:space="preserve">např. </w:t>
      </w:r>
      <w:r w:rsidRPr="009E2C0A">
        <w:t>Edig@s).</w:t>
      </w:r>
    </w:p>
    <w:p w14:paraId="286F4590" w14:textId="77777777" w:rsidR="00E1124C" w:rsidRPr="00D71428" w:rsidRDefault="00E1124C" w:rsidP="00E1124C">
      <w:pPr>
        <w:pStyle w:val="Nadpis2"/>
        <w:rPr>
          <w:b w:val="0"/>
        </w:rPr>
      </w:pPr>
      <w:r w:rsidRPr="00D71428">
        <w:t>Model poskytování informací</w:t>
      </w:r>
    </w:p>
    <w:p w14:paraId="286F4591" w14:textId="77777777" w:rsidR="00E1124C" w:rsidRDefault="00E1124C" w:rsidP="00E1124C">
      <w:r>
        <w:t xml:space="preserve">ERU se přiklání k modelu poskytování informací podle základního scénáře s tím, že bude nutné vyřešit problematiku uvedenou v části </w:t>
      </w:r>
      <w:r w:rsidRPr="00151EB3">
        <w:rPr>
          <w:b/>
        </w:rPr>
        <w:fldChar w:fldCharType="begin"/>
      </w:r>
      <w:r w:rsidRPr="00151EB3">
        <w:rPr>
          <w:b/>
        </w:rPr>
        <w:instrText xml:space="preserve"> REF _Ref404942899 \n \h </w:instrText>
      </w:r>
      <w:r>
        <w:rPr>
          <w:b/>
        </w:rPr>
        <w:instrText xml:space="preserve"> \* MERGEFORMAT </w:instrText>
      </w:r>
      <w:r w:rsidRPr="00151EB3">
        <w:rPr>
          <w:b/>
        </w:rPr>
      </w:r>
      <w:r w:rsidRPr="00151EB3">
        <w:rPr>
          <w:b/>
        </w:rPr>
        <w:fldChar w:fldCharType="separate"/>
      </w:r>
      <w:r w:rsidRPr="00151EB3">
        <w:rPr>
          <w:b/>
        </w:rPr>
        <w:t>d</w:t>
      </w:r>
      <w:r w:rsidRPr="00151EB3">
        <w:rPr>
          <w:b/>
        </w:rPr>
        <w:fldChar w:fldCharType="end"/>
      </w:r>
      <w:r>
        <w:rPr>
          <w:b/>
        </w:rPr>
        <w:t>)</w:t>
      </w:r>
      <w:r>
        <w:t xml:space="preserve"> této kapitoly. V opačném případě lze uvažovat o modelu poskytování informací podle varianty 2 dle čl. 3 bodu 21 Nařízení. V takovém případě, by byla výše nominace odběrů neměřených denně stanovována ve spolupráci TSO a DSO podle očekávaných spotřeb neměřených odběrů v jednotlivých distribučních soustavách.</w:t>
      </w:r>
    </w:p>
    <w:p w14:paraId="286F4592" w14:textId="77777777" w:rsidR="00E1124C" w:rsidRPr="00D71428" w:rsidRDefault="00E1124C" w:rsidP="00E1124C">
      <w:pPr>
        <w:pStyle w:val="Nadpis2"/>
      </w:pPr>
      <w:r w:rsidRPr="00F311DC">
        <w:t>Poskytování</w:t>
      </w:r>
      <w:r w:rsidRPr="00D71428">
        <w:t xml:space="preserve"> informací o předpokládaném odběru</w:t>
      </w:r>
    </w:p>
    <w:p w14:paraId="286F4593" w14:textId="77777777" w:rsidR="00E1124C" w:rsidRDefault="00E1124C" w:rsidP="00E1124C">
      <w:pPr>
        <w:spacing w:after="120"/>
      </w:pPr>
      <w:r>
        <w:t xml:space="preserve">Informace o neměřených odběrech lze zjistit ze dvou různých zdrojů: </w:t>
      </w:r>
    </w:p>
    <w:p w14:paraId="286F4594" w14:textId="77777777" w:rsidR="00E1124C" w:rsidRDefault="00E1124C" w:rsidP="00E1124C">
      <w:pPr>
        <w:pStyle w:val="Odstavecseseznamem"/>
        <w:numPr>
          <w:ilvl w:val="0"/>
          <w:numId w:val="15"/>
        </w:numPr>
      </w:pPr>
      <w:r>
        <w:t xml:space="preserve">Prvním zdrojem je aktualizovaná predikce teploty v průběhu dne, což umožní přesněji odhadnout spotřebu podle TDD za odběrná místa s měřením typu C. Takto upravené hodnoty přepočtených typových diagramů na základě aktualizované predikce teploty bude OTE poskytovat alespoň 2 krát denně. </w:t>
      </w:r>
    </w:p>
    <w:p w14:paraId="286F4595" w14:textId="77777777" w:rsidR="00E1124C" w:rsidRDefault="00E1124C" w:rsidP="00E1124C">
      <w:pPr>
        <w:pStyle w:val="Odstavecseseznamem"/>
        <w:numPr>
          <w:ilvl w:val="0"/>
          <w:numId w:val="15"/>
        </w:numPr>
      </w:pPr>
      <w:r>
        <w:t xml:space="preserve">Druhým zdrojem je porovnání spotřeby v distribuční zóně s aktualizovanými průběžnými daty za odběrná místa s měřením typu A. </w:t>
      </w:r>
    </w:p>
    <w:p w14:paraId="286F4596" w14:textId="77777777" w:rsidR="00E1124C" w:rsidRDefault="00E1124C" w:rsidP="00E1124C">
      <w:r>
        <w:t xml:space="preserve">ERÚ předpokládá, že jsou DSO schopni alespoň 2 krát denně poskytnout aktualizace spotřeby za jednotlivá odběrná místa s měření typu A alespoň v úrovni technických měření. </w:t>
      </w:r>
    </w:p>
    <w:p w14:paraId="286F4597" w14:textId="77777777" w:rsidR="00E1124C" w:rsidRPr="009711FF" w:rsidRDefault="00E1124C" w:rsidP="00E1124C">
      <w:pPr>
        <w:pBdr>
          <w:top w:val="single" w:sz="4" w:space="1" w:color="auto"/>
          <w:left w:val="single" w:sz="4" w:space="4" w:color="auto"/>
          <w:bottom w:val="single" w:sz="4" w:space="1" w:color="auto"/>
          <w:right w:val="single" w:sz="4" w:space="4" w:color="auto"/>
        </w:pBdr>
        <w:rPr>
          <w:rStyle w:val="Zvraznn"/>
        </w:rPr>
      </w:pPr>
      <w:r w:rsidRPr="009711FF">
        <w:rPr>
          <w:rStyle w:val="Zvraznn"/>
        </w:rPr>
        <w:t>ERÚ vyzývá provozovatele distribučních soustav k poskytnutí informace o tom, jak často budou tyto informace prostřednictvím platformy OTE poskytovány.</w:t>
      </w:r>
    </w:p>
    <w:p w14:paraId="286F4598" w14:textId="77777777" w:rsidR="00E1124C" w:rsidRPr="009F4300" w:rsidRDefault="00E1124C" w:rsidP="00E1124C">
      <w:pPr>
        <w:pStyle w:val="Nadpis2"/>
        <w:rPr>
          <w:b w:val="0"/>
        </w:rPr>
      </w:pPr>
      <w:r w:rsidRPr="009F4300">
        <w:t>Pobídky pro TSO</w:t>
      </w:r>
    </w:p>
    <w:p w14:paraId="286F4599" w14:textId="77777777" w:rsidR="00E1124C" w:rsidRDefault="00E1124C" w:rsidP="00E1124C">
      <w:r>
        <w:t>V souladu s ustanovením čl. 11 odst. 2 Nařízení může provozovatel přepravní soustavy předložit Úřadu ke schválení pobídkový mechanismus, který bude v souladu s obecnými zásadami Nařízení.</w:t>
      </w:r>
    </w:p>
    <w:p w14:paraId="286F459A" w14:textId="77777777" w:rsidR="00E1124C" w:rsidRPr="005D32E9" w:rsidRDefault="00E1124C" w:rsidP="00E1124C">
      <w:pPr>
        <w:pBdr>
          <w:top w:val="single" w:sz="4" w:space="1" w:color="auto"/>
          <w:left w:val="single" w:sz="4" w:space="4" w:color="auto"/>
          <w:bottom w:val="single" w:sz="4" w:space="1" w:color="auto"/>
          <w:right w:val="single" w:sz="4" w:space="4" w:color="auto"/>
        </w:pBdr>
        <w:rPr>
          <w:rStyle w:val="Zvraznn"/>
        </w:rPr>
      </w:pPr>
      <w:r w:rsidRPr="005D32E9">
        <w:rPr>
          <w:rStyle w:val="Zvraznn"/>
        </w:rPr>
        <w:t xml:space="preserve">ERÚ tímto vyzývá provozovatele přepravní soustavy, aby návrh pobídkového mechanismu předložil nejpozději do termínu </w:t>
      </w:r>
      <w:r>
        <w:rPr>
          <w:rStyle w:val="Zvraznn"/>
        </w:rPr>
        <w:t xml:space="preserve">podávání </w:t>
      </w:r>
      <w:r w:rsidRPr="005D32E9">
        <w:rPr>
          <w:rStyle w:val="Zvraznn"/>
        </w:rPr>
        <w:t>připomínek</w:t>
      </w:r>
      <w:r>
        <w:rPr>
          <w:rStyle w:val="Zvraznn"/>
        </w:rPr>
        <w:t xml:space="preserve"> a podnětů k tomuto dokumentu</w:t>
      </w:r>
    </w:p>
    <w:p w14:paraId="286F459B" w14:textId="77777777" w:rsidR="00E1124C" w:rsidRPr="009F4300" w:rsidRDefault="00E1124C" w:rsidP="00E1124C">
      <w:pPr>
        <w:pStyle w:val="Nadpis2"/>
        <w:rPr>
          <w:b w:val="0"/>
        </w:rPr>
      </w:pPr>
      <w:r w:rsidRPr="009F4300">
        <w:t>Nominace a renominace</w:t>
      </w:r>
    </w:p>
    <w:p w14:paraId="286F459C" w14:textId="77777777" w:rsidR="00E1124C" w:rsidRDefault="00E1124C" w:rsidP="00E1124C">
      <w:pPr>
        <w:rPr>
          <w:rFonts w:asciiTheme="majorHAnsi" w:eastAsiaTheme="majorEastAsia" w:hAnsiTheme="majorHAnsi" w:cstheme="majorBidi"/>
          <w:b/>
          <w:bCs/>
          <w:color w:val="365F91" w:themeColor="accent1" w:themeShade="BF"/>
          <w:sz w:val="28"/>
          <w:szCs w:val="28"/>
        </w:rPr>
      </w:pPr>
      <w:r>
        <w:t>Podle názoru Úřadu je s</w:t>
      </w:r>
      <w:r w:rsidRPr="009F4300">
        <w:t xml:space="preserve">távající </w:t>
      </w:r>
      <w:r>
        <w:t>postup a termíny podávání nominací</w:t>
      </w:r>
      <w:r w:rsidRPr="009F4300">
        <w:t xml:space="preserve"> v souladu s úpravou </w:t>
      </w:r>
      <w:r>
        <w:t>vyžadovanou</w:t>
      </w:r>
      <w:r w:rsidRPr="009F4300">
        <w:t xml:space="preserve"> </w:t>
      </w:r>
      <w:r>
        <w:t>N</w:t>
      </w:r>
      <w:r w:rsidRPr="009F4300">
        <w:t>ařízení</w:t>
      </w:r>
      <w:r>
        <w:t>m.</w:t>
      </w:r>
      <w:r>
        <w:br w:type="page"/>
      </w:r>
    </w:p>
    <w:p w14:paraId="286F459D" w14:textId="77777777" w:rsidR="00E1124C" w:rsidRDefault="00E1124C" w:rsidP="00E1124C">
      <w:pPr>
        <w:pStyle w:val="Nadpis1"/>
      </w:pPr>
      <w:r>
        <w:t xml:space="preserve">Pravidla konzultačního procesu </w:t>
      </w:r>
    </w:p>
    <w:p w14:paraId="286F459E" w14:textId="77777777" w:rsidR="00E1124C" w:rsidRDefault="00E1124C" w:rsidP="00E1124C">
      <w:pPr>
        <w:pStyle w:val="Odstavecseseznamem"/>
        <w:numPr>
          <w:ilvl w:val="0"/>
          <w:numId w:val="19"/>
        </w:numPr>
        <w:ind w:left="357" w:hanging="357"/>
      </w:pPr>
      <w:r>
        <w:t xml:space="preserve">Připomínky a podněty k navržené koncepci a vyjádření na otázky vznesené v tomto dokumentu je možné Úřadu předat prostřednictvím e-mailové adresy </w:t>
      </w:r>
      <w:hyperlink r:id="rId11" w:history="1">
        <w:r w:rsidRPr="00911650">
          <w:rPr>
            <w:rStyle w:val="Hypertextovodkaz"/>
            <w:sz w:val="23"/>
            <w:szCs w:val="23"/>
          </w:rPr>
          <w:t>plyn@eru.cz</w:t>
        </w:r>
      </w:hyperlink>
      <w:r>
        <w:t xml:space="preserve"> s označením předmětu </w:t>
      </w:r>
    </w:p>
    <w:p w14:paraId="286F459F" w14:textId="77777777" w:rsidR="00E1124C" w:rsidRDefault="00E1124C" w:rsidP="00E1124C">
      <w:pPr>
        <w:jc w:val="center"/>
      </w:pPr>
      <w:r>
        <w:t>„</w:t>
      </w:r>
      <w:r w:rsidRPr="00ED6D2C">
        <w:rPr>
          <w:b/>
        </w:rPr>
        <w:t>NC BAL – konzultační proces</w:t>
      </w:r>
      <w:r>
        <w:t xml:space="preserve">“. </w:t>
      </w:r>
    </w:p>
    <w:p w14:paraId="286F45A0" w14:textId="77777777" w:rsidR="00E1124C" w:rsidRDefault="00E1124C" w:rsidP="00E1124C">
      <w:pPr>
        <w:pStyle w:val="Odstavecseseznamem"/>
        <w:numPr>
          <w:ilvl w:val="0"/>
          <w:numId w:val="19"/>
        </w:numPr>
        <w:ind w:left="357" w:hanging="357"/>
      </w:pPr>
      <w:r>
        <w:t>Připomínky a podněty musí být zaslány ve formě: připomínka, odůvodnění připomínky a vlastní alternativní návrh.</w:t>
      </w:r>
    </w:p>
    <w:p w14:paraId="286F45A1" w14:textId="77777777" w:rsidR="00E1124C" w:rsidRDefault="00E1124C" w:rsidP="00E1124C">
      <w:pPr>
        <w:pStyle w:val="Odstavecseseznamem"/>
        <w:numPr>
          <w:ilvl w:val="0"/>
          <w:numId w:val="17"/>
        </w:numPr>
      </w:pPr>
      <w:r>
        <w:t>Vypořádání připomínek a podnětů proběhne formou aktualizace tohoto dokumentu, který bude zveřejněn na internetových stránkách Úřadu.</w:t>
      </w:r>
    </w:p>
    <w:p w14:paraId="286F45A2" w14:textId="77777777" w:rsidR="00E1124C" w:rsidRDefault="00E1124C" w:rsidP="00E1124C">
      <w:pPr>
        <w:pStyle w:val="Odstavecseseznamem"/>
        <w:numPr>
          <w:ilvl w:val="0"/>
          <w:numId w:val="17"/>
        </w:numPr>
      </w:pPr>
      <w:r>
        <w:t xml:space="preserve">Připomínky, podněty a vyjádření na vznesené otázky je možné zasílat do </w:t>
      </w:r>
      <w:r w:rsidRPr="00911650">
        <w:rPr>
          <w:b/>
          <w:bCs/>
        </w:rPr>
        <w:t xml:space="preserve">4. ledna 2015 </w:t>
      </w:r>
      <w:r w:rsidRPr="00911650">
        <w:t>na výše uveden</w:t>
      </w:r>
      <w:r w:rsidRPr="00911650">
        <w:rPr>
          <w:bCs/>
        </w:rPr>
        <w:t>ou e-mailovou adresu</w:t>
      </w:r>
      <w:r>
        <w:t xml:space="preserve">. </w:t>
      </w:r>
    </w:p>
    <w:p w14:paraId="286F45A3" w14:textId="77777777" w:rsidR="00E1124C" w:rsidRDefault="00E1124C" w:rsidP="00E1124C">
      <w:pPr>
        <w:pStyle w:val="Odstavecseseznamem"/>
        <w:numPr>
          <w:ilvl w:val="0"/>
          <w:numId w:val="17"/>
        </w:numPr>
      </w:pPr>
      <w:r>
        <w:t>Principiální připomínky, které nebudou Úřadu předány v této fázi konzultačního procesu, budou považovány pouze za připomínky s doporučujícím charakterem.</w:t>
      </w:r>
    </w:p>
    <w:p w14:paraId="286F45A4" w14:textId="77777777" w:rsidR="00E1124C" w:rsidRDefault="00E1124C" w:rsidP="00E1124C">
      <w:r>
        <w:t>Vyzýváme účastníky trhu, aby se zejména zaměřili na otázky uvedené v rámečcích, do nichž je možno přímo vpisovat.</w:t>
      </w:r>
    </w:p>
    <w:p w14:paraId="286F45A5" w14:textId="77777777" w:rsidR="00363053" w:rsidRDefault="00363053"/>
    <w:sectPr w:rsidR="00363053" w:rsidSect="00B740F7">
      <w:footerReference w:type="defaul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6F45AC" w14:textId="77777777" w:rsidR="00000000" w:rsidRDefault="00211D9B">
      <w:pPr>
        <w:spacing w:after="0" w:line="240" w:lineRule="auto"/>
      </w:pPr>
      <w:r>
        <w:separator/>
      </w:r>
    </w:p>
  </w:endnote>
  <w:endnote w:type="continuationSeparator" w:id="0">
    <w:p w14:paraId="286F45AE" w14:textId="77777777" w:rsidR="00000000" w:rsidRDefault="00211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840909"/>
      <w:docPartObj>
        <w:docPartGallery w:val="Page Numbers (Bottom of Page)"/>
        <w:docPartUnique/>
      </w:docPartObj>
    </w:sdtPr>
    <w:sdtEndPr/>
    <w:sdtContent>
      <w:p w14:paraId="286F45A6" w14:textId="77777777" w:rsidR="005B453F" w:rsidRDefault="00E1124C">
        <w:pPr>
          <w:pStyle w:val="Zpat"/>
          <w:jc w:val="center"/>
        </w:pPr>
        <w:r>
          <w:fldChar w:fldCharType="begin"/>
        </w:r>
        <w:r>
          <w:instrText>PAGE   \* MERGEFORMAT</w:instrText>
        </w:r>
        <w:r>
          <w:fldChar w:fldCharType="separate"/>
        </w:r>
        <w:r w:rsidR="00211D9B">
          <w:rPr>
            <w:noProof/>
          </w:rPr>
          <w:t>2</w:t>
        </w:r>
        <w:r>
          <w:fldChar w:fldCharType="end"/>
        </w:r>
      </w:p>
    </w:sdtContent>
  </w:sdt>
  <w:p w14:paraId="286F45A7" w14:textId="77777777" w:rsidR="005B453F" w:rsidRDefault="00211D9B">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6F45A8" w14:textId="77777777" w:rsidR="00000000" w:rsidRDefault="00211D9B">
      <w:pPr>
        <w:spacing w:after="0" w:line="240" w:lineRule="auto"/>
      </w:pPr>
      <w:r>
        <w:separator/>
      </w:r>
    </w:p>
  </w:footnote>
  <w:footnote w:type="continuationSeparator" w:id="0">
    <w:p w14:paraId="286F45AA" w14:textId="77777777" w:rsidR="00000000" w:rsidRDefault="00211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A7D15"/>
    <w:multiLevelType w:val="hybridMultilevel"/>
    <w:tmpl w:val="D9EA600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24D6EC1"/>
    <w:multiLevelType w:val="hybridMultilevel"/>
    <w:tmpl w:val="78141EA0"/>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A1E470A"/>
    <w:multiLevelType w:val="hybridMultilevel"/>
    <w:tmpl w:val="243675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B672856"/>
    <w:multiLevelType w:val="hybridMultilevel"/>
    <w:tmpl w:val="3876769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0DC8545E"/>
    <w:multiLevelType w:val="hybridMultilevel"/>
    <w:tmpl w:val="9D786D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E447A8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1DE74E58"/>
    <w:multiLevelType w:val="hybridMultilevel"/>
    <w:tmpl w:val="729416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581127E"/>
    <w:multiLevelType w:val="hybridMultilevel"/>
    <w:tmpl w:val="BB0A2070"/>
    <w:lvl w:ilvl="0" w:tplc="EF5C5B8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28200396"/>
    <w:multiLevelType w:val="hybridMultilevel"/>
    <w:tmpl w:val="DD34D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32B20714"/>
    <w:multiLevelType w:val="hybridMultilevel"/>
    <w:tmpl w:val="E2CEB6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36602F62"/>
    <w:multiLevelType w:val="hybridMultilevel"/>
    <w:tmpl w:val="73E6DB20"/>
    <w:lvl w:ilvl="0" w:tplc="3ABA764A">
      <w:start w:val="3"/>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nsid w:val="38EB5AB7"/>
    <w:multiLevelType w:val="hybridMultilevel"/>
    <w:tmpl w:val="ABAEC6F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52915520"/>
    <w:multiLevelType w:val="hybridMultilevel"/>
    <w:tmpl w:val="0B8EA9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5E437C3F"/>
    <w:multiLevelType w:val="hybridMultilevel"/>
    <w:tmpl w:val="43EACD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62FF281B"/>
    <w:multiLevelType w:val="hybridMultilevel"/>
    <w:tmpl w:val="D55A7BF2"/>
    <w:lvl w:ilvl="0" w:tplc="CE7607D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nsid w:val="69325F20"/>
    <w:multiLevelType w:val="hybridMultilevel"/>
    <w:tmpl w:val="30904E02"/>
    <w:lvl w:ilvl="0" w:tplc="34A63406">
      <w:start w:val="1"/>
      <w:numFmt w:val="bullet"/>
      <w:lvlText w:val=""/>
      <w:lvlJc w:val="left"/>
      <w:pPr>
        <w:tabs>
          <w:tab w:val="num" w:pos="720"/>
        </w:tabs>
        <w:ind w:left="720" w:hanging="360"/>
      </w:pPr>
      <w:rPr>
        <w:rFonts w:ascii="Wingdings" w:hAnsi="Wingdings" w:hint="default"/>
      </w:rPr>
    </w:lvl>
    <w:lvl w:ilvl="1" w:tplc="18BC4838">
      <w:start w:val="1"/>
      <w:numFmt w:val="bullet"/>
      <w:lvlText w:val=""/>
      <w:lvlJc w:val="left"/>
      <w:pPr>
        <w:tabs>
          <w:tab w:val="num" w:pos="1440"/>
        </w:tabs>
        <w:ind w:left="1440" w:hanging="360"/>
      </w:pPr>
      <w:rPr>
        <w:rFonts w:ascii="Wingdings" w:hAnsi="Wingdings" w:hint="default"/>
      </w:rPr>
    </w:lvl>
    <w:lvl w:ilvl="2" w:tplc="EFD67178" w:tentative="1">
      <w:start w:val="1"/>
      <w:numFmt w:val="bullet"/>
      <w:lvlText w:val=""/>
      <w:lvlJc w:val="left"/>
      <w:pPr>
        <w:tabs>
          <w:tab w:val="num" w:pos="2160"/>
        </w:tabs>
        <w:ind w:left="2160" w:hanging="360"/>
      </w:pPr>
      <w:rPr>
        <w:rFonts w:ascii="Wingdings" w:hAnsi="Wingdings" w:hint="default"/>
      </w:rPr>
    </w:lvl>
    <w:lvl w:ilvl="3" w:tplc="78B89850" w:tentative="1">
      <w:start w:val="1"/>
      <w:numFmt w:val="bullet"/>
      <w:lvlText w:val=""/>
      <w:lvlJc w:val="left"/>
      <w:pPr>
        <w:tabs>
          <w:tab w:val="num" w:pos="2880"/>
        </w:tabs>
        <w:ind w:left="2880" w:hanging="360"/>
      </w:pPr>
      <w:rPr>
        <w:rFonts w:ascii="Wingdings" w:hAnsi="Wingdings" w:hint="default"/>
      </w:rPr>
    </w:lvl>
    <w:lvl w:ilvl="4" w:tplc="C3644C80" w:tentative="1">
      <w:start w:val="1"/>
      <w:numFmt w:val="bullet"/>
      <w:lvlText w:val=""/>
      <w:lvlJc w:val="left"/>
      <w:pPr>
        <w:tabs>
          <w:tab w:val="num" w:pos="3600"/>
        </w:tabs>
        <w:ind w:left="3600" w:hanging="360"/>
      </w:pPr>
      <w:rPr>
        <w:rFonts w:ascii="Wingdings" w:hAnsi="Wingdings" w:hint="default"/>
      </w:rPr>
    </w:lvl>
    <w:lvl w:ilvl="5" w:tplc="48A2C74A" w:tentative="1">
      <w:start w:val="1"/>
      <w:numFmt w:val="bullet"/>
      <w:lvlText w:val=""/>
      <w:lvlJc w:val="left"/>
      <w:pPr>
        <w:tabs>
          <w:tab w:val="num" w:pos="4320"/>
        </w:tabs>
        <w:ind w:left="4320" w:hanging="360"/>
      </w:pPr>
      <w:rPr>
        <w:rFonts w:ascii="Wingdings" w:hAnsi="Wingdings" w:hint="default"/>
      </w:rPr>
    </w:lvl>
    <w:lvl w:ilvl="6" w:tplc="046E3CFE" w:tentative="1">
      <w:start w:val="1"/>
      <w:numFmt w:val="bullet"/>
      <w:lvlText w:val=""/>
      <w:lvlJc w:val="left"/>
      <w:pPr>
        <w:tabs>
          <w:tab w:val="num" w:pos="5040"/>
        </w:tabs>
        <w:ind w:left="5040" w:hanging="360"/>
      </w:pPr>
      <w:rPr>
        <w:rFonts w:ascii="Wingdings" w:hAnsi="Wingdings" w:hint="default"/>
      </w:rPr>
    </w:lvl>
    <w:lvl w:ilvl="7" w:tplc="3D08B6FA" w:tentative="1">
      <w:start w:val="1"/>
      <w:numFmt w:val="bullet"/>
      <w:lvlText w:val=""/>
      <w:lvlJc w:val="left"/>
      <w:pPr>
        <w:tabs>
          <w:tab w:val="num" w:pos="5760"/>
        </w:tabs>
        <w:ind w:left="5760" w:hanging="360"/>
      </w:pPr>
      <w:rPr>
        <w:rFonts w:ascii="Wingdings" w:hAnsi="Wingdings" w:hint="default"/>
      </w:rPr>
    </w:lvl>
    <w:lvl w:ilvl="8" w:tplc="4C4EE594" w:tentative="1">
      <w:start w:val="1"/>
      <w:numFmt w:val="bullet"/>
      <w:lvlText w:val=""/>
      <w:lvlJc w:val="left"/>
      <w:pPr>
        <w:tabs>
          <w:tab w:val="num" w:pos="6480"/>
        </w:tabs>
        <w:ind w:left="6480" w:hanging="360"/>
      </w:pPr>
      <w:rPr>
        <w:rFonts w:ascii="Wingdings" w:hAnsi="Wingdings" w:hint="default"/>
      </w:rPr>
    </w:lvl>
  </w:abstractNum>
  <w:abstractNum w:abstractNumId="16">
    <w:nsid w:val="6FCB15AE"/>
    <w:multiLevelType w:val="hybridMultilevel"/>
    <w:tmpl w:val="1618F586"/>
    <w:lvl w:ilvl="0" w:tplc="4F90C03A">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56334B1"/>
    <w:multiLevelType w:val="hybridMultilevel"/>
    <w:tmpl w:val="FDC06644"/>
    <w:lvl w:ilvl="0" w:tplc="BBAA1DF4">
      <w:start w:val="1"/>
      <w:numFmt w:val="lowerLetter"/>
      <w:pStyle w:val="Nadpis2"/>
      <w:lvlText w:val="%1."/>
      <w:lvlJc w:val="left"/>
      <w:pPr>
        <w:ind w:left="720" w:hanging="360"/>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7CFF2958"/>
    <w:multiLevelType w:val="hybridMultilevel"/>
    <w:tmpl w:val="973678DC"/>
    <w:lvl w:ilvl="0" w:tplc="3ABA764A">
      <w:start w:val="4"/>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6"/>
  </w:num>
  <w:num w:numId="2">
    <w:abstractNumId w:val="5"/>
  </w:num>
  <w:num w:numId="3">
    <w:abstractNumId w:val="8"/>
  </w:num>
  <w:num w:numId="4">
    <w:abstractNumId w:val="4"/>
  </w:num>
  <w:num w:numId="5">
    <w:abstractNumId w:val="3"/>
  </w:num>
  <w:num w:numId="6">
    <w:abstractNumId w:val="7"/>
  </w:num>
  <w:num w:numId="7">
    <w:abstractNumId w:val="16"/>
  </w:num>
  <w:num w:numId="8">
    <w:abstractNumId w:val="1"/>
  </w:num>
  <w:num w:numId="9">
    <w:abstractNumId w:val="2"/>
  </w:num>
  <w:num w:numId="10">
    <w:abstractNumId w:val="15"/>
  </w:num>
  <w:num w:numId="11">
    <w:abstractNumId w:val="17"/>
  </w:num>
  <w:num w:numId="12">
    <w:abstractNumId w:val="9"/>
  </w:num>
  <w:num w:numId="13">
    <w:abstractNumId w:val="0"/>
  </w:num>
  <w:num w:numId="14">
    <w:abstractNumId w:val="12"/>
  </w:num>
  <w:num w:numId="15">
    <w:abstractNumId w:val="13"/>
  </w:num>
  <w:num w:numId="16">
    <w:abstractNumId w:val="11"/>
  </w:num>
  <w:num w:numId="17">
    <w:abstractNumId w:val="10"/>
  </w:num>
  <w:num w:numId="18">
    <w:abstractNumId w:val="1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24C"/>
    <w:rsid w:val="00211D9B"/>
    <w:rsid w:val="00363053"/>
    <w:rsid w:val="00893C4A"/>
    <w:rsid w:val="00E1124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F4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124C"/>
    <w:pPr>
      <w:jc w:val="both"/>
    </w:pPr>
  </w:style>
  <w:style w:type="paragraph" w:styleId="Nadpis1">
    <w:name w:val="heading 1"/>
    <w:basedOn w:val="Normln"/>
    <w:next w:val="Normln"/>
    <w:link w:val="Nadpis1Char"/>
    <w:uiPriority w:val="9"/>
    <w:qFormat/>
    <w:rsid w:val="00E1124C"/>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1124C"/>
    <w:pPr>
      <w:keepNext/>
      <w:keepLines/>
      <w:numPr>
        <w:numId w:val="11"/>
      </w:numPr>
      <w:spacing w:before="200" w:after="120"/>
      <w:outlineLvl w:val="1"/>
    </w:pPr>
    <w:rPr>
      <w:rFonts w:asciiTheme="majorHAnsi" w:eastAsiaTheme="majorEastAsia" w:hAnsiTheme="majorHAnsi" w:cstheme="majorBidi"/>
      <w:b/>
      <w:bCs/>
      <w:color w:val="000000" w:themeColor="text1"/>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124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1124C"/>
    <w:rPr>
      <w:rFonts w:asciiTheme="majorHAnsi" w:eastAsiaTheme="majorEastAsia" w:hAnsiTheme="majorHAnsi" w:cstheme="majorBidi"/>
      <w:b/>
      <w:bCs/>
      <w:color w:val="000000" w:themeColor="text1"/>
      <w:szCs w:val="26"/>
    </w:rPr>
  </w:style>
  <w:style w:type="paragraph" w:styleId="Odstavecseseznamem">
    <w:name w:val="List Paragraph"/>
    <w:basedOn w:val="Normln"/>
    <w:uiPriority w:val="34"/>
    <w:qFormat/>
    <w:rsid w:val="00E1124C"/>
    <w:pPr>
      <w:ind w:left="720"/>
      <w:contextualSpacing/>
    </w:pPr>
  </w:style>
  <w:style w:type="table" w:styleId="Mkatabulky">
    <w:name w:val="Table Grid"/>
    <w:basedOn w:val="Normlntabulka"/>
    <w:uiPriority w:val="59"/>
    <w:rsid w:val="00E1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1124C"/>
    <w:rPr>
      <w:sz w:val="16"/>
      <w:szCs w:val="16"/>
    </w:rPr>
  </w:style>
  <w:style w:type="paragraph" w:styleId="Textkomente">
    <w:name w:val="annotation text"/>
    <w:basedOn w:val="Normln"/>
    <w:link w:val="TextkomenteChar"/>
    <w:uiPriority w:val="99"/>
    <w:semiHidden/>
    <w:unhideWhenUsed/>
    <w:rsid w:val="00E1124C"/>
    <w:pPr>
      <w:spacing w:line="240" w:lineRule="auto"/>
    </w:pPr>
    <w:rPr>
      <w:sz w:val="20"/>
      <w:szCs w:val="20"/>
    </w:rPr>
  </w:style>
  <w:style w:type="character" w:customStyle="1" w:styleId="TextkomenteChar">
    <w:name w:val="Text komentáře Char"/>
    <w:basedOn w:val="Standardnpsmoodstavce"/>
    <w:link w:val="Textkomente"/>
    <w:uiPriority w:val="99"/>
    <w:semiHidden/>
    <w:rsid w:val="00E1124C"/>
    <w:rPr>
      <w:sz w:val="20"/>
      <w:szCs w:val="20"/>
    </w:rPr>
  </w:style>
  <w:style w:type="paragraph" w:styleId="Pedmtkomente">
    <w:name w:val="annotation subject"/>
    <w:basedOn w:val="Textkomente"/>
    <w:next w:val="Textkomente"/>
    <w:link w:val="PedmtkomenteChar"/>
    <w:uiPriority w:val="99"/>
    <w:semiHidden/>
    <w:unhideWhenUsed/>
    <w:rsid w:val="00E1124C"/>
    <w:rPr>
      <w:b/>
      <w:bCs/>
    </w:rPr>
  </w:style>
  <w:style w:type="character" w:customStyle="1" w:styleId="PedmtkomenteChar">
    <w:name w:val="Předmět komentáře Char"/>
    <w:basedOn w:val="TextkomenteChar"/>
    <w:link w:val="Pedmtkomente"/>
    <w:uiPriority w:val="99"/>
    <w:semiHidden/>
    <w:rsid w:val="00E1124C"/>
    <w:rPr>
      <w:b/>
      <w:bCs/>
      <w:sz w:val="20"/>
      <w:szCs w:val="20"/>
    </w:rPr>
  </w:style>
  <w:style w:type="paragraph" w:styleId="Textbubliny">
    <w:name w:val="Balloon Text"/>
    <w:basedOn w:val="Normln"/>
    <w:link w:val="TextbublinyChar"/>
    <w:uiPriority w:val="99"/>
    <w:semiHidden/>
    <w:unhideWhenUsed/>
    <w:rsid w:val="00E11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124C"/>
    <w:rPr>
      <w:rFonts w:ascii="Tahoma" w:hAnsi="Tahoma" w:cs="Tahoma"/>
      <w:sz w:val="16"/>
      <w:szCs w:val="16"/>
    </w:rPr>
  </w:style>
  <w:style w:type="paragraph" w:styleId="Zhlav">
    <w:name w:val="header"/>
    <w:basedOn w:val="Normln"/>
    <w:link w:val="ZhlavChar"/>
    <w:uiPriority w:val="99"/>
    <w:unhideWhenUsed/>
    <w:rsid w:val="00E112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124C"/>
  </w:style>
  <w:style w:type="paragraph" w:styleId="Zpat">
    <w:name w:val="footer"/>
    <w:basedOn w:val="Normln"/>
    <w:link w:val="ZpatChar"/>
    <w:uiPriority w:val="99"/>
    <w:unhideWhenUsed/>
    <w:rsid w:val="00E1124C"/>
    <w:pPr>
      <w:tabs>
        <w:tab w:val="center" w:pos="4536"/>
        <w:tab w:val="right" w:pos="9072"/>
      </w:tabs>
      <w:spacing w:after="0" w:line="240" w:lineRule="auto"/>
    </w:pPr>
  </w:style>
  <w:style w:type="character" w:customStyle="1" w:styleId="ZpatChar">
    <w:name w:val="Zápatí Char"/>
    <w:basedOn w:val="Standardnpsmoodstavce"/>
    <w:link w:val="Zpat"/>
    <w:uiPriority w:val="99"/>
    <w:rsid w:val="00E1124C"/>
  </w:style>
  <w:style w:type="character" w:styleId="Zvraznn">
    <w:name w:val="Emphasis"/>
    <w:basedOn w:val="Standardnpsmoodstavce"/>
    <w:uiPriority w:val="20"/>
    <w:qFormat/>
    <w:rsid w:val="00E1124C"/>
    <w:rPr>
      <w:b w:val="0"/>
      <w:i/>
      <w:iCs/>
    </w:rPr>
  </w:style>
  <w:style w:type="paragraph" w:styleId="Titulek">
    <w:name w:val="caption"/>
    <w:basedOn w:val="Normln"/>
    <w:next w:val="Normln"/>
    <w:uiPriority w:val="35"/>
    <w:unhideWhenUsed/>
    <w:qFormat/>
    <w:rsid w:val="00E1124C"/>
    <w:pPr>
      <w:spacing w:line="240" w:lineRule="auto"/>
    </w:pPr>
    <w:rPr>
      <w:b/>
      <w:bCs/>
      <w:color w:val="4F81BD" w:themeColor="accent1"/>
      <w:sz w:val="18"/>
      <w:szCs w:val="18"/>
    </w:rPr>
  </w:style>
  <w:style w:type="character" w:styleId="Hypertextovodkaz">
    <w:name w:val="Hyperlink"/>
    <w:basedOn w:val="Standardnpsmoodstavce"/>
    <w:uiPriority w:val="99"/>
    <w:unhideWhenUsed/>
    <w:rsid w:val="00E1124C"/>
    <w:rPr>
      <w:color w:val="0000FF" w:themeColor="hyperlink"/>
      <w:u w:val="single"/>
    </w:rPr>
  </w:style>
  <w:style w:type="paragraph" w:customStyle="1" w:styleId="Default">
    <w:name w:val="Default"/>
    <w:rsid w:val="00E1124C"/>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1124C"/>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1124C"/>
    <w:pPr>
      <w:jc w:val="both"/>
    </w:pPr>
  </w:style>
  <w:style w:type="paragraph" w:styleId="Nadpis1">
    <w:name w:val="heading 1"/>
    <w:basedOn w:val="Normln"/>
    <w:next w:val="Normln"/>
    <w:link w:val="Nadpis1Char"/>
    <w:uiPriority w:val="9"/>
    <w:qFormat/>
    <w:rsid w:val="00E1124C"/>
    <w:pPr>
      <w:keepNext/>
      <w:keepLines/>
      <w:spacing w:before="480" w:after="24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E1124C"/>
    <w:pPr>
      <w:keepNext/>
      <w:keepLines/>
      <w:numPr>
        <w:numId w:val="11"/>
      </w:numPr>
      <w:spacing w:before="200" w:after="120"/>
      <w:outlineLvl w:val="1"/>
    </w:pPr>
    <w:rPr>
      <w:rFonts w:asciiTheme="majorHAnsi" w:eastAsiaTheme="majorEastAsia" w:hAnsiTheme="majorHAnsi" w:cstheme="majorBidi"/>
      <w:b/>
      <w:bCs/>
      <w:color w:val="000000" w:themeColor="text1"/>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E1124C"/>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E1124C"/>
    <w:rPr>
      <w:rFonts w:asciiTheme="majorHAnsi" w:eastAsiaTheme="majorEastAsia" w:hAnsiTheme="majorHAnsi" w:cstheme="majorBidi"/>
      <w:b/>
      <w:bCs/>
      <w:color w:val="000000" w:themeColor="text1"/>
      <w:szCs w:val="26"/>
    </w:rPr>
  </w:style>
  <w:style w:type="paragraph" w:styleId="Odstavecseseznamem">
    <w:name w:val="List Paragraph"/>
    <w:basedOn w:val="Normln"/>
    <w:uiPriority w:val="34"/>
    <w:qFormat/>
    <w:rsid w:val="00E1124C"/>
    <w:pPr>
      <w:ind w:left="720"/>
      <w:contextualSpacing/>
    </w:pPr>
  </w:style>
  <w:style w:type="table" w:styleId="Mkatabulky">
    <w:name w:val="Table Grid"/>
    <w:basedOn w:val="Normlntabulka"/>
    <w:uiPriority w:val="59"/>
    <w:rsid w:val="00E1124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1124C"/>
    <w:rPr>
      <w:sz w:val="16"/>
      <w:szCs w:val="16"/>
    </w:rPr>
  </w:style>
  <w:style w:type="paragraph" w:styleId="Textkomente">
    <w:name w:val="annotation text"/>
    <w:basedOn w:val="Normln"/>
    <w:link w:val="TextkomenteChar"/>
    <w:uiPriority w:val="99"/>
    <w:semiHidden/>
    <w:unhideWhenUsed/>
    <w:rsid w:val="00E1124C"/>
    <w:pPr>
      <w:spacing w:line="240" w:lineRule="auto"/>
    </w:pPr>
    <w:rPr>
      <w:sz w:val="20"/>
      <w:szCs w:val="20"/>
    </w:rPr>
  </w:style>
  <w:style w:type="character" w:customStyle="1" w:styleId="TextkomenteChar">
    <w:name w:val="Text komentáře Char"/>
    <w:basedOn w:val="Standardnpsmoodstavce"/>
    <w:link w:val="Textkomente"/>
    <w:uiPriority w:val="99"/>
    <w:semiHidden/>
    <w:rsid w:val="00E1124C"/>
    <w:rPr>
      <w:sz w:val="20"/>
      <w:szCs w:val="20"/>
    </w:rPr>
  </w:style>
  <w:style w:type="paragraph" w:styleId="Pedmtkomente">
    <w:name w:val="annotation subject"/>
    <w:basedOn w:val="Textkomente"/>
    <w:next w:val="Textkomente"/>
    <w:link w:val="PedmtkomenteChar"/>
    <w:uiPriority w:val="99"/>
    <w:semiHidden/>
    <w:unhideWhenUsed/>
    <w:rsid w:val="00E1124C"/>
    <w:rPr>
      <w:b/>
      <w:bCs/>
    </w:rPr>
  </w:style>
  <w:style w:type="character" w:customStyle="1" w:styleId="PedmtkomenteChar">
    <w:name w:val="Předmět komentáře Char"/>
    <w:basedOn w:val="TextkomenteChar"/>
    <w:link w:val="Pedmtkomente"/>
    <w:uiPriority w:val="99"/>
    <w:semiHidden/>
    <w:rsid w:val="00E1124C"/>
    <w:rPr>
      <w:b/>
      <w:bCs/>
      <w:sz w:val="20"/>
      <w:szCs w:val="20"/>
    </w:rPr>
  </w:style>
  <w:style w:type="paragraph" w:styleId="Textbubliny">
    <w:name w:val="Balloon Text"/>
    <w:basedOn w:val="Normln"/>
    <w:link w:val="TextbublinyChar"/>
    <w:uiPriority w:val="99"/>
    <w:semiHidden/>
    <w:unhideWhenUsed/>
    <w:rsid w:val="00E1124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1124C"/>
    <w:rPr>
      <w:rFonts w:ascii="Tahoma" w:hAnsi="Tahoma" w:cs="Tahoma"/>
      <w:sz w:val="16"/>
      <w:szCs w:val="16"/>
    </w:rPr>
  </w:style>
  <w:style w:type="paragraph" w:styleId="Zhlav">
    <w:name w:val="header"/>
    <w:basedOn w:val="Normln"/>
    <w:link w:val="ZhlavChar"/>
    <w:uiPriority w:val="99"/>
    <w:unhideWhenUsed/>
    <w:rsid w:val="00E1124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1124C"/>
  </w:style>
  <w:style w:type="paragraph" w:styleId="Zpat">
    <w:name w:val="footer"/>
    <w:basedOn w:val="Normln"/>
    <w:link w:val="ZpatChar"/>
    <w:uiPriority w:val="99"/>
    <w:unhideWhenUsed/>
    <w:rsid w:val="00E1124C"/>
    <w:pPr>
      <w:tabs>
        <w:tab w:val="center" w:pos="4536"/>
        <w:tab w:val="right" w:pos="9072"/>
      </w:tabs>
      <w:spacing w:after="0" w:line="240" w:lineRule="auto"/>
    </w:pPr>
  </w:style>
  <w:style w:type="character" w:customStyle="1" w:styleId="ZpatChar">
    <w:name w:val="Zápatí Char"/>
    <w:basedOn w:val="Standardnpsmoodstavce"/>
    <w:link w:val="Zpat"/>
    <w:uiPriority w:val="99"/>
    <w:rsid w:val="00E1124C"/>
  </w:style>
  <w:style w:type="character" w:styleId="Zvraznn">
    <w:name w:val="Emphasis"/>
    <w:basedOn w:val="Standardnpsmoodstavce"/>
    <w:uiPriority w:val="20"/>
    <w:qFormat/>
    <w:rsid w:val="00E1124C"/>
    <w:rPr>
      <w:b w:val="0"/>
      <w:i/>
      <w:iCs/>
    </w:rPr>
  </w:style>
  <w:style w:type="paragraph" w:styleId="Titulek">
    <w:name w:val="caption"/>
    <w:basedOn w:val="Normln"/>
    <w:next w:val="Normln"/>
    <w:uiPriority w:val="35"/>
    <w:unhideWhenUsed/>
    <w:qFormat/>
    <w:rsid w:val="00E1124C"/>
    <w:pPr>
      <w:spacing w:line="240" w:lineRule="auto"/>
    </w:pPr>
    <w:rPr>
      <w:b/>
      <w:bCs/>
      <w:color w:val="4F81BD" w:themeColor="accent1"/>
      <w:sz w:val="18"/>
      <w:szCs w:val="18"/>
    </w:rPr>
  </w:style>
  <w:style w:type="character" w:styleId="Hypertextovodkaz">
    <w:name w:val="Hyperlink"/>
    <w:basedOn w:val="Standardnpsmoodstavce"/>
    <w:uiPriority w:val="99"/>
    <w:unhideWhenUsed/>
    <w:rsid w:val="00E1124C"/>
    <w:rPr>
      <w:color w:val="0000FF" w:themeColor="hyperlink"/>
      <w:u w:val="single"/>
    </w:rPr>
  </w:style>
  <w:style w:type="paragraph" w:customStyle="1" w:styleId="Default">
    <w:name w:val="Default"/>
    <w:rsid w:val="00E1124C"/>
    <w:pPr>
      <w:autoSpaceDE w:val="0"/>
      <w:autoSpaceDN w:val="0"/>
      <w:adjustRightInd w:val="0"/>
      <w:spacing w:after="0" w:line="240" w:lineRule="auto"/>
    </w:pPr>
    <w:rPr>
      <w:rFonts w:ascii="Times New Roman" w:hAnsi="Times New Roman" w:cs="Times New Roman"/>
      <w:color w:val="000000"/>
      <w:sz w:val="24"/>
      <w:szCs w:val="24"/>
    </w:rPr>
  </w:style>
  <w:style w:type="paragraph" w:styleId="Revize">
    <w:name w:val="Revision"/>
    <w:hidden/>
    <w:uiPriority w:val="99"/>
    <w:semiHidden/>
    <w:rsid w:val="00E1124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plyn@eru.cz"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1</_Version>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1A50393821B8854796F555F88C819192" ma:contentTypeVersion="2" ma:contentTypeDescription="Vytvoří nový dokument" ma:contentTypeScope="" ma:versionID="23eb3535be69d9d805c16559e165eb72">
  <xsd:schema xmlns:xsd="http://www.w3.org/2001/XMLSchema" xmlns:xs="http://www.w3.org/2001/XMLSchema" xmlns:p="http://schemas.microsoft.com/office/2006/metadata/properties" xmlns:ns1="http://schemas.microsoft.com/sharepoint/v3/fields" targetNamespace="http://schemas.microsoft.com/office/2006/metadata/properties" ma:root="true" ma:fieldsID="ef545e222e1a30ff04f87e405c62968e" ns1:_="">
    <xsd:import namespace="http://schemas.microsoft.com/sharepoint/v3/fields"/>
    <xsd:element name="properties">
      <xsd:complexType>
        <xsd:sequence>
          <xsd:element name="documentManagement">
            <xsd:complexType>
              <xsd:all>
                <xsd:element ref="ns1:_Vers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3" ma:displayName="Verze" ma:internalName="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Typ obsahu"/>
        <xsd:element ref="dc:title" minOccurs="0" maxOccurs="1" ma:index="2" ma:displayName="Nadpis"/>
        <xsd:element ref="dc:subject" minOccurs="0" maxOccurs="1" ma:index="0" ma:displayName="Předmě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2E88E6B-F700-4833-8226-08AC01FF77D4}">
  <ds:schemaRefs>
    <ds:schemaRef ds:uri="http://purl.org/dc/elements/1.1/"/>
    <ds:schemaRef ds:uri="http://schemas.openxmlformats.org/package/2006/metadata/core-properties"/>
    <ds:schemaRef ds:uri="http://purl.org/dc/terms/"/>
    <ds:schemaRef ds:uri="http://schemas.microsoft.com/office/2006/documentManagement/types"/>
    <ds:schemaRef ds:uri="http://schemas.microsoft.com/office/infopath/2007/PartnerControls"/>
    <ds:schemaRef ds:uri="http://schemas.microsoft.com/office/2006/metadata/properties"/>
    <ds:schemaRef ds:uri="http://purl.org/dc/dcmitype/"/>
    <ds:schemaRef ds:uri="http://schemas.microsoft.com/sharepoint/v3/fields"/>
    <ds:schemaRef ds:uri="http://www.w3.org/XML/1998/namespace"/>
  </ds:schemaRefs>
</ds:datastoreItem>
</file>

<file path=customXml/itemProps2.xml><?xml version="1.0" encoding="utf-8"?>
<ds:datastoreItem xmlns:ds="http://schemas.openxmlformats.org/officeDocument/2006/customXml" ds:itemID="{502D927E-42BD-4EEA-AFE4-2AB272BCB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8265EB-7560-47C8-AB5C-FF14BEE3F3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3996</Words>
  <Characters>23583</Characters>
  <Application>Microsoft Office Word</Application>
  <DocSecurity>0</DocSecurity>
  <Lines>196</Lines>
  <Paragraphs>55</Paragraphs>
  <ScaleCrop>false</ScaleCrop>
  <HeadingPairs>
    <vt:vector size="2" baseType="variant">
      <vt:variant>
        <vt:lpstr>Název</vt:lpstr>
      </vt:variant>
      <vt:variant>
        <vt:i4>1</vt:i4>
      </vt:variant>
    </vt:vector>
  </HeadingPairs>
  <TitlesOfParts>
    <vt:vector size="1" baseType="lpstr">
      <vt:lpstr>NC-BAL_navrh-koncepce_VKP</vt:lpstr>
    </vt:vector>
  </TitlesOfParts>
  <Company/>
  <LinksUpToDate>false</LinksUpToDate>
  <CharactersWithSpaces>27524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NC-BAL_navrh-koncepce_VKP</dc:title>
  <dc:creator>Svoboda Martin Ing.</dc:creator>
  <cp:lastModifiedBy>Korandová Ivana Ing.</cp:lastModifiedBy>
  <cp:revision>2</cp:revision>
  <dcterms:created xsi:type="dcterms:W3CDTF">2014-12-01T12:27:00Z</dcterms:created>
  <dcterms:modified xsi:type="dcterms:W3CDTF">2014-12-01T12:27:00Z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0x0101001A50393821B8854796F555F88C819192</vt:lpwstr>
  </property>
</Properties>
</file>